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>
          <w:color w:val="000000" w:themeColor="text1"/>
        </w:rPr>
      </w:pPr>
      <w:r>
        <w:rPr/>
      </w:r>
    </w:p>
    <w:p>
      <w:pPr>
        <w:pStyle w:val="Normal"/>
        <w:jc w:val="center"/>
        <w:rPr>
          <w:color w:val="000000" w:themeColor="text1"/>
        </w:rPr>
      </w:pPr>
      <w:r>
        <w:rPr/>
      </w:r>
    </w:p>
    <w:p>
      <w:pPr>
        <w:pStyle w:val="Normal"/>
        <w:jc w:val="center"/>
        <w:rPr>
          <w:color w:val="000000" w:themeColor="text1"/>
        </w:rPr>
      </w:pPr>
      <w:r>
        <w:rPr/>
      </w:r>
    </w:p>
    <w:p>
      <w:pPr>
        <w:pStyle w:val="Normal"/>
        <w:jc w:val="center"/>
        <w:rPr>
          <w:color w:val="000000" w:themeColor="text1"/>
        </w:rPr>
      </w:pPr>
      <w:r>
        <w:rPr/>
      </w:r>
    </w:p>
    <w:p>
      <w:pPr>
        <w:pStyle w:val="Normal"/>
        <w:jc w:val="center"/>
        <w:rPr>
          <w:color w:val="000000" w:themeColor="text1"/>
        </w:rPr>
      </w:pPr>
      <w:r>
        <w:rPr/>
      </w:r>
    </w:p>
    <w:p>
      <w:pPr>
        <w:pStyle w:val="Normal"/>
        <w:keepNext w:val="true"/>
        <w:keepLines/>
        <w:jc w:val="right"/>
        <w:rPr>
          <w:bCs/>
        </w:rPr>
      </w:pPr>
      <w:r>
        <w:rPr>
          <w:bCs/>
        </w:rPr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Normal"/>
        <w:keepNext w:val="true"/>
        <w:keepLine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Технические требования на оказание услуг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Cs/>
          <w:i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b/>
          <w:bCs/>
          <w:i/>
          <w:iCs/>
          <w:sz w:val="28"/>
          <w:szCs w:val="28"/>
        </w:rPr>
        <w:t xml:space="preserve">ОКПД2 61.90.10.160 Услуги по предоставлению цифровых технологических каналов связи потоком Е1 </w:t>
      </w:r>
    </w:p>
    <w:p>
      <w:pPr>
        <w:pStyle w:val="Normal"/>
        <w:jc w:val="center"/>
        <w:rPr>
          <w:b/>
          <w:bCs/>
          <w:i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Лот № 0066-ЭКСП ДИТ-2026-ВотГЭС</w:t>
      </w:r>
      <w:r>
        <w:br w:type="page"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dt>
      <w:sdtPr>
        <w:docPartObj>
          <w:docPartGallery w:val="Table of Contents"/>
          <w:docPartUnique w:val="true"/>
        </w:docPartObj>
        <w:id w:val="237457210"/>
      </w:sdtPr>
      <w:sdtContent>
        <w:p>
          <w:pPr>
            <w:pStyle w:val="TOCHeading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>
            <w:rPr>
              <w:rFonts w:cs="Times New Roman" w:ascii="Times New Roman" w:hAnsi="Times New Roman"/>
              <w:color w:val="auto"/>
              <w:sz w:val="24"/>
              <w:szCs w:val="24"/>
            </w:rPr>
            <w:t>Содержание</w:t>
          </w:r>
        </w:p>
        <w:p>
          <w:pPr>
            <w:pStyle w:val="TOC1"/>
            <w:rPr>
              <w:rFonts w:cs="Times New Roman"/>
            </w:rPr>
          </w:pPr>
          <w:r>
            <w:rPr>
              <w:rFonts w:cs="Times New Roman"/>
            </w:rPr>
            <w:t>1.Общие сведения</w:t>
            <w:tab/>
            <w:t>…………………………………………………………………………………………..3</w:t>
          </w:r>
        </w:p>
        <w:p>
          <w:pPr>
            <w:pStyle w:val="TOC2"/>
            <w:spacing w:before="0" w:after="0"/>
            <w:ind w:left="0" w:firstLine="708"/>
            <w:rPr>
              <w:rFonts w:ascii="Times New Roman" w:hAnsi="Times New Roman"/>
              <w:sz w:val="24"/>
              <w:szCs w:val="24"/>
            </w:rPr>
          </w:pPr>
          <w:r>
            <w:rPr>
              <w:rFonts w:eastAsia="Calibri" w:ascii="Times New Roman" w:hAnsi="Times New Roman"/>
              <w:bCs/>
              <w:sz w:val="24"/>
              <w:szCs w:val="24"/>
              <w:lang w:eastAsia="x-none"/>
            </w:rPr>
            <w:t>1.1 Обозначения и сокращения</w:t>
          </w:r>
          <w:r>
            <w:rPr>
              <w:rFonts w:eastAsia="Calibri" w:ascii="Times New Roman" w:hAnsi="Times New Roman"/>
              <w:b/>
              <w:bCs/>
              <w:sz w:val="24"/>
              <w:szCs w:val="24"/>
              <w:lang w:eastAsia="x-none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…………………………………………………………………....3</w:t>
          </w:r>
        </w:p>
        <w:p>
          <w:pPr>
            <w:pStyle w:val="TOC3"/>
            <w:ind w:left="0" w:firstLine="708"/>
            <w:rPr>
              <w:rFonts w:cs="Times New Roman"/>
              <w:sz w:val="24"/>
              <w:szCs w:val="24"/>
            </w:rPr>
          </w:pPr>
          <w:r>
            <w:rPr>
              <w:rFonts w:cs="Times New Roman"/>
              <w:sz w:val="24"/>
              <w:szCs w:val="24"/>
            </w:rPr>
            <w:t>1.2 Цель оказания услуг………………………………………………………………………….....3</w:t>
          </w:r>
        </w:p>
        <w:p>
          <w:pPr>
            <w:pStyle w:val="TOC3"/>
            <w:ind w:left="0" w:firstLine="708"/>
            <w:rPr>
              <w:rFonts w:cs="Times New Roman"/>
              <w:sz w:val="24"/>
              <w:szCs w:val="24"/>
            </w:rPr>
          </w:pPr>
          <w:r>
            <w:rPr>
              <w:rFonts w:cs="Times New Roman"/>
              <w:sz w:val="24"/>
              <w:szCs w:val="24"/>
            </w:rPr>
            <w:t xml:space="preserve">1.3 </w:t>
          </w:r>
          <w:r>
            <w:rPr>
              <w:rFonts w:eastAsia="Calibri" w:cs="Times New Roman"/>
              <w:bCs/>
              <w:sz w:val="24"/>
              <w:szCs w:val="24"/>
              <w:lang w:eastAsia="x-none"/>
            </w:rPr>
            <w:t>Существующее положение</w:t>
          </w:r>
          <w:r>
            <w:rPr>
              <w:rFonts w:cs="Times New Roman"/>
              <w:sz w:val="24"/>
              <w:szCs w:val="24"/>
            </w:rPr>
            <w:t>…………………………………………………………………… .3</w:t>
          </w:r>
        </w:p>
        <w:p>
          <w:pPr>
            <w:pStyle w:val="Normal"/>
            <w:ind w:left="993" w:hanging="285"/>
            <w:rPr/>
          </w:pPr>
          <w:r>
            <w:rPr/>
            <w:t xml:space="preserve">1.4 </w:t>
          </w:r>
          <w:r>
            <w:rPr>
              <w:rFonts w:eastAsia="Calibri"/>
              <w:bCs/>
              <w:lang w:eastAsia="x-none"/>
            </w:rPr>
            <w:t>Информация в отношении исполнения договора, (в том числе перечень ресурсов, услуг и документов, предоставляемых заказчиком на этапе исполнения договора)</w:t>
          </w:r>
          <w:r>
            <w:rPr/>
            <w:t>………………...3</w:t>
          </w:r>
        </w:p>
        <w:p>
          <w:pPr>
            <w:pStyle w:val="Normal"/>
            <w:ind w:firstLine="708"/>
            <w:rPr/>
          </w:pPr>
          <w:r>
            <w:rPr/>
            <w:t>1.5 Иные требования и сведения общего характера……………………………………………...4</w:t>
          </w:r>
        </w:p>
        <w:p>
          <w:pPr>
            <w:pStyle w:val="TOC1"/>
            <w:rPr>
              <w:rFonts w:cs="Times New Roman"/>
            </w:rPr>
          </w:pPr>
          <w:r>
            <w:rPr>
              <w:rFonts w:cs="Times New Roman"/>
            </w:rPr>
            <w:t>2. Требования к продукции</w:t>
            <w:tab/>
            <w:t>………………………………………………………………………………...4</w:t>
          </w:r>
        </w:p>
        <w:p>
          <w:pPr>
            <w:pStyle w:val="TOC2"/>
            <w:ind w:left="216" w:firstLine="492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2.1 </w:t>
          </w:r>
          <w:r>
            <w:rPr>
              <w:rFonts w:eastAsia="Times New Roman" w:ascii="Times New Roman" w:hAnsi="Times New Roman"/>
              <w:sz w:val="24"/>
              <w:szCs w:val="24"/>
            </w:rPr>
            <w:t>Требования к объемам и срокам оказания услуг</w:t>
          </w:r>
          <w:r>
            <w:rPr>
              <w:rFonts w:eastAsia="Times New Roman" w:ascii="Times New Roman" w:hAnsi="Times New Roman"/>
              <w:b/>
              <w:sz w:val="24"/>
              <w:szCs w:val="24"/>
            </w:rPr>
            <w:t>……………………………………………..</w:t>
          </w:r>
          <w:r>
            <w:rPr>
              <w:rFonts w:ascii="Times New Roman" w:hAnsi="Times New Roman"/>
              <w:sz w:val="24"/>
              <w:szCs w:val="24"/>
            </w:rPr>
            <w:t>4</w:t>
          </w:r>
        </w:p>
        <w:p>
          <w:pPr>
            <w:pStyle w:val="TOC3"/>
            <w:ind w:left="446" w:firstLine="262"/>
            <w:rPr>
              <w:rFonts w:cs="Times New Roman"/>
              <w:sz w:val="24"/>
              <w:szCs w:val="24"/>
            </w:rPr>
          </w:pPr>
          <w:r>
            <w:rPr>
              <w:rFonts w:cs="Times New Roman"/>
              <w:sz w:val="24"/>
              <w:szCs w:val="24"/>
              <w:lang w:eastAsia="x-none"/>
            </w:rPr>
            <w:t xml:space="preserve">2.2 </w:t>
          </w:r>
          <w:r>
            <w:rPr>
              <w:rFonts w:cs="Times New Roman"/>
              <w:sz w:val="24"/>
              <w:szCs w:val="24"/>
              <w:lang w:val="x-none" w:eastAsia="x-none"/>
            </w:rPr>
            <w:t>Требования к качеству услуг</w:t>
          </w:r>
          <w:r>
            <w:rPr>
              <w:rFonts w:cs="Times New Roman"/>
              <w:b/>
              <w:sz w:val="24"/>
              <w:szCs w:val="24"/>
              <w:lang w:val="x-none" w:eastAsia="x-none"/>
            </w:rPr>
            <w:t>…</w:t>
          </w:r>
          <w:r>
            <w:rPr>
              <w:rFonts w:cs="Times New Roman"/>
              <w:b/>
              <w:sz w:val="24"/>
              <w:szCs w:val="24"/>
              <w:lang w:eastAsia="x-none"/>
            </w:rPr>
            <w:t>………………………………………………………………..</w:t>
          </w:r>
          <w:r>
            <w:rPr>
              <w:rFonts w:eastAsia="" w:cs="Times New Roman" w:eastAsiaTheme="minorEastAsia"/>
              <w:sz w:val="24"/>
              <w:szCs w:val="24"/>
            </w:rPr>
            <w:t>6</w:t>
          </w:r>
        </w:p>
        <w:p>
          <w:pPr>
            <w:pStyle w:val="Normal"/>
            <w:rPr>
              <w:lang w:val="x-none" w:eastAsia="x-none"/>
            </w:rPr>
          </w:pPr>
          <w:r>
            <w:rPr>
              <w:lang w:val="x-none" w:eastAsia="x-none"/>
            </w:rPr>
            <w:t xml:space="preserve">3. Приложения     </w:t>
          </w:r>
        </w:p>
        <w:p>
          <w:pPr>
            <w:sectPr>
              <w:footerReference w:type="default" r:id="rId2"/>
              <w:type w:val="nextPage"/>
              <w:pgSz w:w="11906" w:h="16838"/>
              <w:pgMar w:left="566" w:right="993" w:gutter="0" w:header="0" w:top="568" w:footer="720" w:bottom="993"/>
              <w:pgNumType w:fmt="decimal"/>
              <w:formProt w:val="false"/>
              <w:titlePg/>
              <w:textDirection w:val="lrTb"/>
              <w:docGrid w:type="default" w:linePitch="326" w:charSpace="0"/>
            </w:sectPr>
            <w:pStyle w:val="Normal"/>
            <w:ind w:left="993" w:hanging="284"/>
            <w:rPr>
              <w:sz w:val="22"/>
              <w:szCs w:val="20"/>
              <w:lang w:val="x-none" w:eastAsia="x-none"/>
            </w:rPr>
          </w:pPr>
          <w:r>
            <w:rPr>
              <w:lang w:eastAsia="x-none"/>
            </w:rPr>
            <w:t xml:space="preserve">3.1 </w:t>
          </w:r>
          <w:r>
            <w:rPr>
              <w:lang w:val="x-none" w:eastAsia="x-none"/>
            </w:rPr>
            <w:t xml:space="preserve">Приложение </w:t>
          </w:r>
          <w:r>
            <w:rPr>
              <w:lang w:eastAsia="x-none"/>
            </w:rPr>
            <w:t>№1</w:t>
          </w:r>
          <w:r>
            <w:rPr>
              <w:lang w:val="x-none" w:eastAsia="x-none"/>
            </w:rPr>
            <w:t xml:space="preserve"> «</w:t>
          </w:r>
          <w:r>
            <w:rPr>
              <w:lang w:eastAsia="x-none"/>
            </w:rPr>
            <w:t>Порядок взаимодействия Служб технической поддержки Заказчика и Исполнителя при обнаружении ухудшения качества Услуг</w:t>
          </w:r>
          <w:r>
            <w:rPr>
              <w:lang w:val="x-none" w:eastAsia="x-none"/>
            </w:rPr>
            <w:t>»</w:t>
          </w:r>
          <w:r>
            <w:rPr>
              <w:lang w:eastAsia="x-none"/>
            </w:rPr>
            <w:t>………………………     .......17</w:t>
          </w:r>
          <w:r>
            <w:rPr>
              <w:sz w:val="22"/>
              <w:szCs w:val="20"/>
              <w:lang w:val="x-none" w:eastAsia="x-none"/>
            </w:rPr>
            <w:t xml:space="preserve">     </w:t>
          </w:r>
        </w:p>
        <w:p>
          <w:pPr>
            <w:pStyle w:val="ListParagraph"/>
            <w:numPr>
              <w:ilvl w:val="0"/>
              <w:numId w:val="3"/>
            </w:numPr>
            <w:tabs>
              <w:tab w:val="clear" w:pos="708"/>
              <w:tab w:val="left" w:pos="314" w:leader="none"/>
            </w:tabs>
            <w:ind w:left="714" w:hanging="357"/>
            <w:jc w:val="center"/>
            <w:rPr>
              <w:rFonts w:eastAsia="Calibri"/>
              <w:b/>
              <w:sz w:val="28"/>
              <w:szCs w:val="28"/>
            </w:rPr>
          </w:pPr>
          <w:r>
            <w:rPr>
              <w:rFonts w:eastAsia="Calibri"/>
              <w:b/>
              <w:sz w:val="28"/>
              <w:szCs w:val="28"/>
            </w:rPr>
            <w:t>Общие сведения</w:t>
          </w:r>
        </w:p>
        <w:p>
          <w:pPr>
            <w:pStyle w:val="ListParagraph"/>
            <w:numPr>
              <w:ilvl w:val="1"/>
              <w:numId w:val="3"/>
            </w:numPr>
            <w:tabs>
              <w:tab w:val="clear" w:pos="708"/>
              <w:tab w:val="left" w:pos="426" w:leader="none"/>
            </w:tabs>
            <w:spacing w:before="0" w:after="120"/>
            <w:contextualSpacing/>
            <w:rPr>
              <w:rFonts w:eastAsia="Calibri"/>
              <w:b/>
              <w:bCs/>
              <w:lang w:eastAsia="x-none"/>
            </w:rPr>
          </w:pPr>
          <w:bookmarkStart w:id="0" w:name="_Toc46743505"/>
          <w:bookmarkStart w:id="1" w:name="_Toc126309965"/>
          <w:r>
            <w:rPr>
              <w:rFonts w:eastAsia="Calibri"/>
              <w:b/>
              <w:bCs/>
              <w:lang w:eastAsia="x-none"/>
            </w:rPr>
            <w:t>Обозначения и сокращения</w:t>
          </w:r>
          <w:bookmarkEnd w:id="0"/>
          <w:bookmarkEnd w:id="1"/>
        </w:p>
      </w:sdtContent>
    </w:sdt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33"/>
        <w:gridCol w:w="7942"/>
      </w:tblGrid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40" w:hanging="14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Сокращение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0" w:firstLine="16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Полное наименование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ЕЭС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Единая энергетическая система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АО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Акционерное общество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ПАО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Публичное акционерное общество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СО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Системный оператор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РДУ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Региональное диспетчерское управление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СТО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Стандарт организации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АРЧМ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Автоматическое регулирование частоты и активной мощности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СМПР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Система мониторинга переходных процессов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ВЧ-связь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Высокочастотная связь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ВЛ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Высоковольтная линия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lang w:val="en-US"/>
              </w:rPr>
            </w:pPr>
            <w:r>
              <w:rPr>
                <w:lang w:val="en-US"/>
              </w:rPr>
              <w:t>G.703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  <w:lang w:val="en-US"/>
              </w:rPr>
            </w:pPr>
            <w:r>
              <w:rPr/>
              <w:t>Рекомендация</w:t>
            </w:r>
            <w:r>
              <w:rPr>
                <w:lang w:val="en-US"/>
              </w:rPr>
              <w:t>-</w:t>
            </w:r>
            <w:r>
              <w:rPr/>
              <w:t>стандарт</w:t>
            </w:r>
            <w:r>
              <w:rPr>
                <w:lang w:val="en-US"/>
              </w:rPr>
              <w:t xml:space="preserve"> G.703 (ITU-T Recommendation G.703.Physical/Electrical Characteristics of Hierarchical Digital Interfaces.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/>
              <w:t>SDH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Синхронная цифровая иерархия (система передачи данных)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/>
            </w:pPr>
            <w:r>
              <w:rPr>
                <w:color w:val="000000"/>
              </w:rPr>
              <w:t>PDH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/>
              <w:t>Плезиохронная цифровая иерархия (</w:t>
            </w:r>
            <w:r>
              <w:rPr>
                <w:bCs/>
              </w:rPr>
              <w:t>система передачи данных</w:t>
            </w:r>
            <w:r>
              <w:rPr/>
              <w:t>)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</w:rPr>
              <w:t>TDM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Технология аналогового или цифрового мультиплексирования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STM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Стандарт передачи данных по оптоволоконной сети SDH ITU-T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DWDM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Плотное мультиплексирование с разделением по длине волны.</w:t>
            </w:r>
          </w:p>
        </w:tc>
      </w:tr>
      <w:tr>
        <w:trPr/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jc w:val="both"/>
              <w:rPr>
                <w:bCs/>
              </w:rPr>
            </w:pPr>
            <w:r>
              <w:rPr>
                <w:bCs/>
              </w:rPr>
              <w:t>ВОЛС</w:t>
            </w:r>
          </w:p>
        </w:tc>
        <w:tc>
          <w:tcPr>
            <w:tcW w:w="7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40" w:after="40"/>
              <w:ind w:left="120" w:hanging="0"/>
              <w:jc w:val="both"/>
              <w:rPr>
                <w:bCs/>
              </w:rPr>
            </w:pPr>
            <w:r>
              <w:rPr>
                <w:bCs/>
              </w:rPr>
              <w:t>Волоконно-оптические линии связи</w:t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spacing w:before="0" w:after="120"/>
        <w:rPr>
          <w:rFonts w:eastAsia="Calibri"/>
          <w:b/>
          <w:bCs/>
          <w:lang w:eastAsia="x-none"/>
        </w:rPr>
      </w:pPr>
      <w:r>
        <w:rPr>
          <w:rFonts w:eastAsia="Calibri"/>
          <w:b/>
          <w:bCs/>
          <w:lang w:eastAsia="x-none"/>
        </w:rPr>
      </w:r>
    </w:p>
    <w:p>
      <w:pPr>
        <w:pStyle w:val="ListParagraph"/>
        <w:numPr>
          <w:ilvl w:val="1"/>
          <w:numId w:val="3"/>
        </w:numPr>
        <w:jc w:val="both"/>
        <w:rPr>
          <w:b/>
          <w:bCs/>
        </w:rPr>
      </w:pPr>
      <w:r>
        <w:rPr>
          <w:b/>
        </w:rPr>
        <w:t>Наименование закупаемой продукции</w:t>
      </w:r>
      <w:r>
        <w:rPr>
          <w:b/>
          <w:bCs/>
        </w:rPr>
        <w:t xml:space="preserve"> </w:t>
      </w:r>
    </w:p>
    <w:p>
      <w:pPr>
        <w:pStyle w:val="Normal"/>
        <w:ind w:left="284" w:firstLine="425"/>
        <w:jc w:val="both"/>
        <w:rPr>
          <w:bCs/>
        </w:rPr>
      </w:pPr>
      <w:r>
        <w:rPr>
          <w:bCs/>
        </w:rPr>
        <w:t xml:space="preserve">ОКПД2 61.90.10.160 Услуги по предоставлению цифрового технологического канала связи потоком Е1. 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426" w:leader="none"/>
        </w:tabs>
        <w:spacing w:before="0" w:after="120"/>
        <w:contextualSpacing/>
        <w:rPr>
          <w:rFonts w:eastAsia="Calibri"/>
          <w:b/>
          <w:bCs/>
          <w:lang w:val="x-none" w:eastAsia="x-none"/>
        </w:rPr>
      </w:pPr>
      <w:r>
        <w:rPr>
          <w:rFonts w:eastAsia="Calibri"/>
          <w:b/>
          <w:bCs/>
          <w:lang w:val="x-none" w:eastAsia="x-none"/>
        </w:rPr>
        <w:t>Цел</w:t>
      </w:r>
      <w:r>
        <w:rPr>
          <w:rFonts w:eastAsia="Calibri"/>
          <w:b/>
          <w:bCs/>
          <w:lang w:eastAsia="x-none"/>
        </w:rPr>
        <w:t>ь</w:t>
      </w:r>
      <w:r>
        <w:rPr>
          <w:rFonts w:eastAsia="Calibri"/>
          <w:b/>
          <w:bCs/>
          <w:lang w:val="x-none" w:eastAsia="x-none"/>
        </w:rPr>
        <w:t xml:space="preserve"> </w:t>
      </w:r>
      <w:r>
        <w:rPr>
          <w:rFonts w:eastAsia="Calibri"/>
          <w:b/>
          <w:bCs/>
          <w:lang w:eastAsia="x-none"/>
        </w:rPr>
        <w:t>оказания услуг</w:t>
      </w:r>
      <w:r>
        <w:rPr>
          <w:rFonts w:eastAsia="Calibri"/>
          <w:b/>
          <w:bCs/>
          <w:lang w:val="x-none" w:eastAsia="x-none"/>
        </w:rPr>
        <w:t xml:space="preserve"> </w:t>
      </w:r>
    </w:p>
    <w:p>
      <w:pPr>
        <w:pStyle w:val="Normal"/>
        <w:tabs>
          <w:tab w:val="clear" w:pos="708"/>
          <w:tab w:val="left" w:pos="426" w:leader="none"/>
        </w:tabs>
        <w:ind w:firstLine="624"/>
        <w:jc w:val="both"/>
        <w:rPr>
          <w:bCs/>
        </w:rPr>
      </w:pPr>
      <w:r>
        <w:rPr>
          <w:bCs/>
        </w:rPr>
        <w:t xml:space="preserve">1.3.1. Организация трех цифровых технологических каналов связи </w:t>
      </w:r>
      <w:r>
        <w:rPr>
          <w:bCs/>
          <w:color w:val="000000"/>
        </w:rPr>
        <w:t>потоком Е1 G.703</w:t>
      </w:r>
      <w:r>
        <w:rPr>
          <w:bCs/>
        </w:rPr>
        <w:t xml:space="preserve"> для целей диспетчерской связи, передачи сигналов телемеханики, режимной автоматики, противоаварийной автоматики, СМПР, ДУ и АРЧМ:</w:t>
      </w:r>
    </w:p>
    <w:p>
      <w:pPr>
        <w:pStyle w:val="Normal"/>
        <w:tabs>
          <w:tab w:val="clear" w:pos="708"/>
          <w:tab w:val="left" w:pos="426" w:leader="none"/>
        </w:tabs>
        <w:ind w:firstLine="624"/>
        <w:jc w:val="both"/>
        <w:rPr>
          <w:bCs/>
        </w:rPr>
      </w:pPr>
      <w:r>
        <w:rPr>
          <w:bCs/>
        </w:rPr>
        <w:t>1.3.1.1. От Воткинской ГЭС до Филиала АО «СО ЕЭС» Пермское РДУ;</w:t>
      </w:r>
    </w:p>
    <w:p>
      <w:pPr>
        <w:pStyle w:val="Normal"/>
        <w:tabs>
          <w:tab w:val="clear" w:pos="708"/>
          <w:tab w:val="left" w:pos="426" w:leader="none"/>
        </w:tabs>
        <w:ind w:firstLine="624"/>
        <w:jc w:val="both"/>
        <w:rPr>
          <w:bCs/>
        </w:rPr>
      </w:pPr>
      <w:r>
        <w:rPr>
          <w:bCs/>
        </w:rPr>
        <w:t>1.3.1.2. От Воткинской ГЭС до Филиала АО «СО ЕЭС» Пермское РДУ;</w:t>
      </w:r>
    </w:p>
    <w:p>
      <w:pPr>
        <w:pStyle w:val="Normal"/>
        <w:tabs>
          <w:tab w:val="clear" w:pos="708"/>
          <w:tab w:val="left" w:pos="426" w:leader="none"/>
        </w:tabs>
        <w:ind w:firstLine="624"/>
        <w:jc w:val="both"/>
        <w:rPr>
          <w:bCs/>
        </w:rPr>
      </w:pPr>
      <w:r>
        <w:rPr>
          <w:bCs/>
        </w:rPr>
        <w:t>1.3.1.3. От Воткинской ГЭС до Филиала АО «СО ЕЭС» ОДУ Урала.</w:t>
      </w:r>
    </w:p>
    <w:p>
      <w:pPr>
        <w:pStyle w:val="Normal"/>
        <w:tabs>
          <w:tab w:val="clear" w:pos="708"/>
          <w:tab w:val="left" w:pos="426" w:leader="none"/>
        </w:tabs>
        <w:jc w:val="both"/>
        <w:rPr/>
      </w:pPr>
      <w:r>
        <w:rPr/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/>
      </w:pPr>
      <w:r>
        <w:rPr>
          <w:rFonts w:eastAsia="Calibri"/>
          <w:b/>
          <w:bCs/>
          <w:lang w:eastAsia="x-none"/>
        </w:rPr>
        <w:t>Существующее положение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418" w:leader="none"/>
        </w:tabs>
        <w:ind w:left="0" w:firstLine="567"/>
        <w:jc w:val="both"/>
        <w:rPr>
          <w:bCs/>
        </w:rPr>
      </w:pPr>
      <w:bookmarkStart w:id="2" w:name="_Toc122431414"/>
      <w:bookmarkStart w:id="3" w:name="_Toc127175680"/>
      <w:bookmarkEnd w:id="2"/>
      <w:bookmarkEnd w:id="3"/>
      <w:r>
        <w:rPr>
          <w:bCs/>
        </w:rPr>
        <w:t>В настоящее время на Воткинской ГЭС организованы основной и резервный цифровые технологические каналы связи с Филиалом ОАО «СО ЕЭС» Пермское РДУ (далее – Пермское РДУ) и ОАО «СО ЕЭС» ОДУ Урала (далее — ОДУ Урала). Цифровые каналы связи используют поток Е1 для передачи данных и организации диспетчерской связи. Каналообразующим оборудованием потоков Е1 являются мультиплексоры Alcatel MainStreet 3600 (основной и резервный).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418" w:leader="none"/>
        </w:tabs>
        <w:ind w:left="0" w:firstLine="567"/>
        <w:jc w:val="both"/>
        <w:rPr>
          <w:bCs/>
        </w:rPr>
      </w:pPr>
      <w:r>
        <w:rPr>
          <w:bCs/>
        </w:rPr>
        <w:t>Основные каналы связи до СО:</w:t>
      </w:r>
    </w:p>
    <w:p>
      <w:pPr>
        <w:pStyle w:val="ListParagraph"/>
        <w:numPr>
          <w:ilvl w:val="3"/>
          <w:numId w:val="3"/>
        </w:numPr>
        <w:tabs>
          <w:tab w:val="clear" w:pos="708"/>
          <w:tab w:val="left" w:pos="1418" w:leader="none"/>
        </w:tabs>
        <w:ind w:left="0" w:firstLine="567"/>
        <w:jc w:val="both"/>
        <w:rPr>
          <w:bCs/>
        </w:rPr>
      </w:pPr>
      <w:r>
        <w:rPr>
          <w:bCs/>
        </w:rPr>
        <w:t>Поток Е1.1, Е1.2 до Пермского РДУ организован следующим образом: от Воткинской ГЭС до адреса г. Чайковский, ул. Советская, д. 19 (Чайковский районный узел Пермского филиала ПАО «Ростелеком») по волоконно-оптической линии связи, проложенной в кабельной канализации, через оптические мультиплексоры Поликом-200U-1GT; далее, согласно договора аренды потока Е1 с ПАО «Ростелеком», до г. Пермь, ул. Крупская, д. 2 по волоконно-оптической линии связи ПАО «Ростелеком».</w:t>
      </w:r>
    </w:p>
    <w:p>
      <w:pPr>
        <w:pStyle w:val="ListParagraph"/>
        <w:numPr>
          <w:ilvl w:val="3"/>
          <w:numId w:val="3"/>
        </w:numPr>
        <w:tabs>
          <w:tab w:val="clear" w:pos="708"/>
          <w:tab w:val="left" w:pos="1418" w:leader="none"/>
        </w:tabs>
        <w:ind w:left="0" w:firstLine="567"/>
        <w:jc w:val="both"/>
        <w:rPr>
          <w:bCs/>
        </w:rPr>
      </w:pPr>
      <w:r>
        <w:rPr>
          <w:bCs/>
        </w:rPr>
        <w:t>Поток Е1 до ОДУ Урала организован следующим образом: от Воткинской ГЭС до адреса г. Чайковский, ул. Советская, д. 19 (Чайковский районный узел Пермского филиала ПАО «Ростелеком») по волоконно-оптической линии связи, проложенной в кабельной канализации, через оптические мультиплексоры Поликом-200U-1GT; далее, согласно договора аренды потока Е1 с ПАО «Ростелеком», до г. Екатеринбург, пер. Асбестовский, д. 4А, по волоконно-оптической линии связи ПАО «Ростелеком».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418" w:leader="none"/>
        </w:tabs>
        <w:ind w:left="0" w:firstLine="567"/>
        <w:jc w:val="both"/>
        <w:rPr>
          <w:bCs/>
        </w:rPr>
      </w:pPr>
      <w:r>
        <w:rPr>
          <w:bCs/>
        </w:rPr>
        <w:t>Резервные каналы связи до СО:</w:t>
      </w:r>
    </w:p>
    <w:p>
      <w:pPr>
        <w:pStyle w:val="ListParagraph"/>
        <w:numPr>
          <w:ilvl w:val="3"/>
          <w:numId w:val="3"/>
        </w:numPr>
        <w:tabs>
          <w:tab w:val="clear" w:pos="708"/>
          <w:tab w:val="left" w:pos="1418" w:leader="none"/>
        </w:tabs>
        <w:ind w:left="0" w:firstLine="567"/>
        <w:jc w:val="both"/>
        <w:rPr>
          <w:bCs/>
        </w:rPr>
      </w:pPr>
      <w:r>
        <w:rPr>
          <w:bCs/>
        </w:rPr>
        <w:t>Поток Е1.1 до Пермского РДУ организован следующим образом: Воткинская ГЭС – г.о. Чайковский, город Чайковский, территория Воткинской ГЭС через оптический мультиплексор Alcatel MainStreet 3600 рез., далее согласно договора аренды потока Е1 с ПАО «Мегафон», до г. Пермь, ул. Комсомольский проспект, 48.</w:t>
      </w:r>
    </w:p>
    <w:p>
      <w:pPr>
        <w:pStyle w:val="ListParagraph"/>
        <w:numPr>
          <w:ilvl w:val="3"/>
          <w:numId w:val="3"/>
        </w:numPr>
        <w:tabs>
          <w:tab w:val="clear" w:pos="708"/>
          <w:tab w:val="left" w:pos="1418" w:leader="none"/>
        </w:tabs>
        <w:ind w:left="0" w:firstLine="567"/>
        <w:jc w:val="both"/>
        <w:rPr>
          <w:bCs/>
        </w:rPr>
      </w:pPr>
      <w:r>
        <w:rPr>
          <w:bCs/>
        </w:rPr>
        <w:t>Поток Е1.2 до Пермского РДУ организован следующим образом: Воткинская ГЭС – г.о. Чайковский, город Чайковский, территория Воткинской ГЭС через оптический мультиплексор Alcatel MainStreet 3600 рез., далее согласно договора аренды потока Е1 с ПАО «Мегафон», до г. Пермь, ул. Комсомольский проспект, 48.</w:t>
      </w:r>
    </w:p>
    <w:p>
      <w:pPr>
        <w:pStyle w:val="ListParagraph"/>
        <w:numPr>
          <w:ilvl w:val="3"/>
          <w:numId w:val="3"/>
        </w:numPr>
        <w:tabs>
          <w:tab w:val="clear" w:pos="708"/>
          <w:tab w:val="left" w:pos="1418" w:leader="none"/>
        </w:tabs>
        <w:ind w:left="0" w:firstLine="567"/>
        <w:jc w:val="both"/>
        <w:rPr>
          <w:bCs/>
        </w:rPr>
      </w:pPr>
      <w:r>
        <w:rPr/>
        <w:t>Поток Е1 до ОДУ Урала</w:t>
      </w:r>
      <w:r>
        <w:rPr>
          <w:bCs/>
        </w:rPr>
        <w:t xml:space="preserve"> организован следующим образом: Воткинская ГЭС – г.о. Чайковский, город Чайковский, территория Воткинской ГЭС через оптический мультиплексор Alcatel MainStreet 3600 рез., далее согласно договора аренды потока Е1 с ПАО «Мегафон», до г. Екатеринбург, ул. Луначарского, 31.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426" w:leader="none"/>
        </w:tabs>
        <w:spacing w:before="0" w:after="120"/>
        <w:contextualSpacing/>
        <w:jc w:val="both"/>
        <w:rPr>
          <w:b/>
        </w:rPr>
      </w:pPr>
      <w:r>
        <w:rPr>
          <w:rFonts w:eastAsia="Calibri"/>
          <w:b/>
          <w:bCs/>
          <w:lang w:eastAsia="x-none"/>
        </w:rPr>
        <w:t>Адреса точек подключения потока Е1 G.703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418" w:leader="none"/>
        </w:tabs>
        <w:ind w:left="1080" w:hanging="513"/>
        <w:jc w:val="both"/>
        <w:rPr>
          <w:bCs/>
        </w:rPr>
      </w:pPr>
      <w:r>
        <w:rPr>
          <w:bCs/>
        </w:rPr>
        <w:t xml:space="preserve">Со стороны оборудования Филиала ПАО «РусГидро»- «Воткинская ГЭС»: </w:t>
      </w:r>
    </w:p>
    <w:p>
      <w:pPr>
        <w:pStyle w:val="ListParagraph"/>
        <w:numPr>
          <w:ilvl w:val="0"/>
          <w:numId w:val="10"/>
        </w:numPr>
        <w:ind w:left="1276" w:hanging="425"/>
        <w:jc w:val="both"/>
        <w:rPr>
          <w:bCs/>
        </w:rPr>
      </w:pPr>
      <w:r>
        <w:rPr>
          <w:bCs/>
        </w:rPr>
        <w:t>Пермский край, г.о. Чайковский, г. Чайковский, тер. Воткинской ГЭС д.1/2 - Здание Вспомогательного корпуса - Основной узел связи.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418" w:leader="none"/>
        </w:tabs>
        <w:ind w:left="1080" w:hanging="513"/>
        <w:jc w:val="both"/>
        <w:rPr>
          <w:bCs/>
        </w:rPr>
      </w:pPr>
      <w:r>
        <w:rPr>
          <w:bCs/>
        </w:rPr>
        <w:t xml:space="preserve">Со стороны оборудования Пермского РДУ: </w:t>
      </w:r>
    </w:p>
    <w:p>
      <w:pPr>
        <w:pStyle w:val="ListParagraph"/>
        <w:numPr>
          <w:ilvl w:val="0"/>
          <w:numId w:val="10"/>
        </w:numPr>
        <w:ind w:left="1276" w:hanging="425"/>
        <w:jc w:val="both"/>
        <w:rPr>
          <w:bCs/>
        </w:rPr>
      </w:pPr>
      <w:r>
        <w:rPr>
          <w:bCs/>
        </w:rPr>
        <w:t>г. Пермь, пр-кт Комсомольский, 48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418" w:leader="none"/>
        </w:tabs>
        <w:ind w:left="1080" w:hanging="513"/>
        <w:jc w:val="both"/>
        <w:rPr/>
      </w:pPr>
      <w:r>
        <w:rPr>
          <w:bCs/>
        </w:rPr>
        <w:t xml:space="preserve">В </w:t>
      </w:r>
      <w:r>
        <w:rPr>
          <w:color w:val="000000"/>
        </w:rPr>
        <w:t>Со стороны оборудования ОДУ Урала:</w:t>
      </w:r>
    </w:p>
    <w:p>
      <w:pPr>
        <w:pStyle w:val="ListParagraph"/>
        <w:numPr>
          <w:ilvl w:val="0"/>
          <w:numId w:val="10"/>
        </w:numPr>
        <w:ind w:left="1276" w:hanging="425"/>
        <w:jc w:val="both"/>
        <w:rPr>
          <w:bCs/>
        </w:rPr>
      </w:pPr>
      <w:r>
        <w:rPr>
          <w:bCs/>
        </w:rPr>
        <w:t>г. Екатеринбург, ул. Луначарского, д. 31.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14" w:leader="none"/>
        </w:tabs>
        <w:spacing w:before="240" w:after="0"/>
        <w:ind w:left="714" w:hanging="357"/>
        <w:contextualSpacing/>
        <w:jc w:val="center"/>
        <w:rPr>
          <w:rFonts w:eastAsia="Calibri"/>
          <w:b/>
          <w:sz w:val="28"/>
          <w:szCs w:val="28"/>
        </w:rPr>
      </w:pPr>
      <w:bookmarkStart w:id="4" w:name="_Toc122431414_Копия_1"/>
      <w:bookmarkStart w:id="5" w:name="_Toc127175680_Копия_1"/>
      <w:bookmarkEnd w:id="4"/>
      <w:bookmarkEnd w:id="5"/>
      <w:r>
        <w:rPr>
          <w:rFonts w:eastAsia="Calibri"/>
          <w:b/>
          <w:sz w:val="28"/>
          <w:szCs w:val="28"/>
        </w:rPr>
        <w:t>Требования к продукции</w:t>
      </w:r>
    </w:p>
    <w:p>
      <w:pPr>
        <w:pStyle w:val="Heading4"/>
        <w:numPr>
          <w:ilvl w:val="1"/>
          <w:numId w:val="3"/>
        </w:numPr>
        <w:rPr>
          <w:rFonts w:ascii="Times New Roman" w:hAnsi="Times New Roman" w:eastAsia="Times New Roman" w:cs="Times New Roman"/>
          <w:b/>
          <w:i w:val="false"/>
          <w:i w:val="false"/>
          <w:iCs w:val="false"/>
          <w:color w:val="auto"/>
        </w:rPr>
      </w:pPr>
      <w:bookmarkStart w:id="6" w:name="_Toc127175681"/>
      <w:bookmarkStart w:id="7" w:name="_Toc122431415"/>
      <w:r>
        <w:rPr>
          <w:rFonts w:eastAsia="Times New Roman" w:cs="Times New Roman" w:ascii="Times New Roman" w:hAnsi="Times New Roman"/>
          <w:b/>
          <w:i w:val="false"/>
          <w:iCs w:val="false"/>
          <w:color w:val="auto"/>
        </w:rPr>
        <w:t>Требования к объемам и срокам оказания услуг</w:t>
      </w:r>
      <w:bookmarkEnd w:id="6"/>
      <w:bookmarkEnd w:id="7"/>
    </w:p>
    <w:p>
      <w:pPr>
        <w:pStyle w:val="Heading3"/>
        <w:numPr>
          <w:ilvl w:val="2"/>
          <w:numId w:val="3"/>
        </w:numPr>
        <w:rPr>
          <w:rFonts w:ascii="Times New Roman" w:hAnsi="Times New Roman" w:eastAsia="Times New Roman" w:cs="Times New Roman"/>
          <w:color w:val="auto"/>
        </w:rPr>
      </w:pPr>
      <w:bookmarkStart w:id="8" w:name="_Toc122431416"/>
      <w:bookmarkStart w:id="9" w:name="_Toc127175682"/>
      <w:r>
        <w:rPr>
          <w:rFonts w:eastAsia="Times New Roman" w:cs="Times New Roman" w:ascii="Times New Roman" w:hAnsi="Times New Roman"/>
          <w:color w:val="auto"/>
        </w:rPr>
        <w:t>Требования к перечню и объему услуг</w:t>
      </w:r>
      <w:bookmarkEnd w:id="8"/>
      <w:bookmarkEnd w:id="9"/>
    </w:p>
    <w:p>
      <w:pPr>
        <w:pStyle w:val="Heading1"/>
        <w:keepLines/>
        <w:spacing w:before="120" w:after="0"/>
        <w:jc w:val="right"/>
        <w:rPr/>
      </w:pPr>
      <w:bookmarkStart w:id="10" w:name="_Toc122431417"/>
      <w:bookmarkStart w:id="11" w:name="_Toc127175683"/>
      <w:bookmarkStart w:id="12" w:name="_Toc51339695"/>
      <w:r>
        <w:rPr>
          <w:szCs w:val="24"/>
        </w:rPr>
        <w:t xml:space="preserve">Таблица </w:t>
      </w:r>
      <w:r>
        <w:rPr>
          <w:szCs w:val="24"/>
          <w:lang w:val="ru-RU"/>
        </w:rPr>
        <w:t>1.</w:t>
      </w:r>
      <w:r>
        <w:rPr>
          <w:szCs w:val="24"/>
        </w:rPr>
        <w:t xml:space="preserve"> </w:t>
      </w:r>
      <w:r>
        <w:rPr>
          <w:szCs w:val="24"/>
          <w:lang w:val="ru-RU"/>
        </w:rPr>
        <w:t xml:space="preserve">Перечень </w:t>
      </w:r>
      <w:bookmarkEnd w:id="12"/>
      <w:r>
        <w:rPr>
          <w:szCs w:val="24"/>
          <w:lang w:val="ru-RU"/>
        </w:rPr>
        <w:t>и объем оказываемых услуг</w:t>
      </w:r>
      <w:bookmarkEnd w:id="10"/>
      <w:bookmarkEnd w:id="11"/>
    </w:p>
    <w:tbl>
      <w:tblPr>
        <w:tblpPr w:bottomFromText="0" w:horzAnchor="text" w:leftFromText="180" w:rightFromText="180" w:tblpX="0" w:tblpY="1" w:topFromText="0" w:vertAnchor="text"/>
        <w:tblW w:w="1007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47"/>
        <w:gridCol w:w="7102"/>
        <w:gridCol w:w="1134"/>
        <w:gridCol w:w="1287"/>
      </w:tblGrid>
      <w:tr>
        <w:trPr>
          <w:tblHeader w:val="true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</w:rPr>
            </w:pPr>
            <w:r>
              <w:rPr/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b/>
              </w:rPr>
            </w:pPr>
            <w:r>
              <w:rPr/>
              <w:t>п/п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</w:rPr>
            </w:pPr>
            <w:r>
              <w:rPr/>
              <w:t>Наименование услуг / этапа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ind w:left="-115" w:right="-108" w:hanging="0"/>
              <w:jc w:val="center"/>
              <w:rPr>
                <w:b/>
              </w:rPr>
            </w:pPr>
            <w:r>
              <w:rPr/>
              <w:t>Единица измерения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ind w:left="-130" w:right="-94" w:hanging="0"/>
              <w:jc w:val="center"/>
              <w:rPr>
                <w:b/>
              </w:rPr>
            </w:pPr>
            <w:r>
              <w:rPr/>
              <w:t>Количество</w:t>
            </w:r>
          </w:p>
        </w:tc>
      </w:tr>
      <w:tr>
        <w:trPr>
          <w:tblHeader w:val="true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</w:tr>
      <w:tr>
        <w:trPr>
          <w:trHeight w:val="700" w:hRule="atLeast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Организация цифрового технологического канала связи потоком Е1</w:t>
            </w:r>
            <w:r>
              <w:rPr>
                <w:bCs/>
              </w:rPr>
              <w:t>, согласно п. 1.3.1.1.</w:t>
            </w:r>
            <w:r>
              <w:rPr/>
              <w:t xml:space="preserve"> Адреса точек подключения канала указаны в п.1.5.1, 1.5.2 настоящих ТТ (Основные электрические параметры потока Е1 (G.703) должны соответствовать, либо быть не менее приведённых в п.1.2.1.1 Таблицы № 3 настоящих ТТ)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усл.ед.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</w:tr>
      <w:tr>
        <w:trPr>
          <w:trHeight w:val="416" w:hRule="atLeast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Организация цифрового технологического канала связи потоком Е1, согласно п. 1.3.1.2. Адреса точек подключения канала указаны в п.1.5.1. и п.1.5.2. настоящих ТТ (Основные электрические параметры потока Е1 (G.703) должны соответствовать, либо быть не менее приведённых в  п.1.2.1.1 Таблицы № 3 настоящих ТТ)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усл.ед.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</w:tr>
      <w:tr>
        <w:trPr>
          <w:trHeight w:val="416" w:hRule="atLeast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ind w:left="0" w:hanging="0"/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>Организация цифрового технологического канала связи потоком Е1, согласно п. 1.3.1.2. Адреса точек подключения канала указаны в п.1.5.1. и п.1.5.3. настоящих ТТ (Основные электрические параметры потока Е1 (G.703) должны соответствовать, либо быть не менее приведённых в  п.1.2.1.1 Таблицы № 3 настоящих ТТ)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lang w:val="en-US"/>
              </w:rPr>
              <w:t>усл.ед.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</w:tr>
    </w:tbl>
    <w:p>
      <w:pPr>
        <w:pStyle w:val="Heading3"/>
        <w:ind w:left="426" w:hanging="0"/>
        <w:rPr>
          <w:rFonts w:ascii="Times New Roman" w:hAnsi="Times New Roman" w:eastAsia="Times New Roman" w:cs="Times New Roman"/>
          <w:color w:val="auto"/>
        </w:rPr>
      </w:pPr>
      <w:r>
        <w:rPr>
          <w:rFonts w:eastAsia="Calibri" w:cs="Times New Roman" w:ascii="Times New Roman" w:hAnsi="Times New Roman"/>
          <w:bCs/>
          <w:sz w:val="23"/>
          <w:szCs w:val="23"/>
          <w:lang w:eastAsia="x-none"/>
        </w:rPr>
        <w:br/>
      </w:r>
      <w:bookmarkStart w:id="13" w:name="_Toc127175684"/>
      <w:bookmarkStart w:id="14" w:name="_Toc122431418"/>
      <w:r>
        <w:rPr>
          <w:rFonts w:eastAsia="Times New Roman" w:cs="Times New Roman" w:ascii="Times New Roman" w:hAnsi="Times New Roman"/>
          <w:color w:val="auto"/>
        </w:rPr>
        <w:t>2.1.2.</w:t>
      </w:r>
      <w:bookmarkStart w:id="15" w:name="_Toc51339696"/>
      <w:r>
        <w:rPr>
          <w:rFonts w:eastAsia="Times New Roman" w:cs="Times New Roman" w:ascii="Times New Roman" w:hAnsi="Times New Roman"/>
          <w:color w:val="auto"/>
        </w:rPr>
        <w:t xml:space="preserve"> Требования </w:t>
      </w:r>
      <w:bookmarkEnd w:id="15"/>
      <w:r>
        <w:rPr>
          <w:rFonts w:eastAsia="Times New Roman" w:cs="Times New Roman" w:ascii="Times New Roman" w:hAnsi="Times New Roman"/>
          <w:color w:val="auto"/>
        </w:rPr>
        <w:t>к срокам оказания услуг</w:t>
      </w:r>
      <w:bookmarkEnd w:id="13"/>
      <w:bookmarkEnd w:id="14"/>
    </w:p>
    <w:p>
      <w:pPr>
        <w:pStyle w:val="Heading1"/>
        <w:keepLines/>
        <w:spacing w:before="240" w:after="0"/>
        <w:jc w:val="right"/>
        <w:rPr/>
      </w:pPr>
      <w:bookmarkStart w:id="16" w:name="_Toc127175685"/>
      <w:bookmarkStart w:id="17" w:name="_Toc122431419"/>
      <w:bookmarkStart w:id="18" w:name="_Toc51339697"/>
      <w:bookmarkStart w:id="19" w:name="_Toc50125127"/>
      <w:r>
        <w:rPr>
          <w:szCs w:val="24"/>
        </w:rPr>
        <w:t xml:space="preserve">Таблица </w:t>
      </w:r>
      <w:r>
        <w:rPr>
          <w:szCs w:val="24"/>
          <w:lang w:val="ru-RU"/>
        </w:rPr>
        <w:t>2</w:t>
      </w:r>
      <w:r>
        <w:rPr>
          <w:szCs w:val="24"/>
        </w:rPr>
        <w:t xml:space="preserve">. </w:t>
      </w:r>
      <w:bookmarkStart w:id="20" w:name="_Hlk50465284"/>
      <w:r>
        <w:rPr>
          <w:szCs w:val="24"/>
        </w:rPr>
        <w:t xml:space="preserve">Требования </w:t>
      </w:r>
      <w:r>
        <w:rPr>
          <w:szCs w:val="24"/>
          <w:lang w:val="ru-RU"/>
        </w:rPr>
        <w:t>к</w:t>
      </w:r>
      <w:r>
        <w:rPr>
          <w:szCs w:val="24"/>
        </w:rPr>
        <w:t xml:space="preserve"> срокам </w:t>
      </w:r>
      <w:bookmarkEnd w:id="18"/>
      <w:bookmarkEnd w:id="19"/>
      <w:bookmarkEnd w:id="20"/>
      <w:r>
        <w:rPr>
          <w:szCs w:val="24"/>
          <w:lang w:val="ru-RU"/>
        </w:rPr>
        <w:t>оказания услуг</w:t>
      </w:r>
      <w:bookmarkEnd w:id="16"/>
      <w:bookmarkEnd w:id="17"/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38"/>
        <w:gridCol w:w="4513"/>
        <w:gridCol w:w="2408"/>
        <w:gridCol w:w="2460"/>
      </w:tblGrid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услуг/ этапа услуг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Требования к началу срока оказания услуг/ этапа услуг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2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ind w:left="0" w:hanging="0"/>
              <w:rPr/>
            </w:pPr>
            <w:r>
              <w:rPr/>
              <w:t>1.</w:t>
            </w:r>
          </w:p>
        </w:tc>
        <w:tc>
          <w:tcPr>
            <w:tcW w:w="4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/>
              <w:t xml:space="preserve">Организация и предоставление цифровых технологических каналов связи потоком Е1 </w:t>
            </w:r>
            <w:r>
              <w:rPr>
                <w:bCs/>
              </w:rPr>
              <w:t>согласно п.1.3.1.1., 1.3.1.2, 1.3.1.3  настоящих ТТ.</w:t>
            </w: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lang w:val="en-US"/>
              </w:rPr>
              <w:t>0</w:t>
            </w:r>
            <w:r>
              <w:rPr/>
              <w:t>1</w:t>
            </w:r>
            <w:r>
              <w:rPr>
                <w:lang w:val="en-US"/>
              </w:rPr>
              <w:t>.06.2026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31</w:t>
            </w:r>
            <w:bookmarkStart w:id="21" w:name="_GoBack"/>
            <w:bookmarkEnd w:id="21"/>
            <w:r>
              <w:rPr/>
              <w:t>.0</w:t>
            </w:r>
            <w:r>
              <w:rPr>
                <w:lang w:val="en-US"/>
              </w:rPr>
              <w:t>5</w:t>
            </w:r>
            <w:r>
              <w:rPr/>
              <w:t>.2027</w:t>
            </w:r>
          </w:p>
        </w:tc>
      </w:tr>
    </w:tbl>
    <w:p>
      <w:pPr>
        <w:pStyle w:val="Normal"/>
        <w:tabs>
          <w:tab w:val="clear" w:pos="708"/>
          <w:tab w:val="left" w:pos="567" w:leader="none"/>
        </w:tabs>
        <w:spacing w:before="0" w:after="120"/>
        <w:jc w:val="both"/>
        <w:rPr>
          <w:rFonts w:eastAsia="Calibri"/>
          <w:bCs/>
          <w:sz w:val="23"/>
          <w:szCs w:val="23"/>
          <w:lang w:eastAsia="x-none"/>
        </w:rPr>
      </w:pPr>
      <w:r>
        <w:rPr>
          <w:rFonts w:eastAsia="Calibri"/>
          <w:bCs/>
          <w:sz w:val="23"/>
          <w:szCs w:val="23"/>
          <w:lang w:eastAsia="x-none"/>
        </w:rPr>
      </w:r>
    </w:p>
    <w:p>
      <w:pPr>
        <w:sectPr>
          <w:footerReference w:type="default" r:id="rId3"/>
          <w:footerReference w:type="first" r:id="rId4"/>
          <w:type w:val="nextPage"/>
          <w:pgSz w:w="11906" w:h="16838"/>
          <w:pgMar w:left="993" w:right="993" w:gutter="0" w:header="0" w:top="993" w:footer="475" w:bottom="851"/>
          <w:pgNumType w:fmt="decimal"/>
          <w:formProt w:val="false"/>
          <w:textDirection w:val="lrTb"/>
          <w:docGrid w:type="default" w:linePitch="326" w:charSpace="0"/>
        </w:sect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bCs/>
          <w:strike/>
          <w:sz w:val="23"/>
          <w:szCs w:val="23"/>
          <w:lang w:val="x-none" w:eastAsia="x-none"/>
        </w:rPr>
      </w:pPr>
      <w:r>
        <w:rPr>
          <w:rFonts w:eastAsia="Calibri"/>
          <w:bCs/>
          <w:sz w:val="23"/>
          <w:szCs w:val="23"/>
          <w:lang w:eastAsia="x-none"/>
        </w:rPr>
        <w:tab/>
      </w:r>
    </w:p>
    <w:p>
      <w:pPr>
        <w:pStyle w:val="Heading4"/>
        <w:numPr>
          <w:ilvl w:val="1"/>
          <w:numId w:val="3"/>
        </w:numPr>
        <w:rPr>
          <w:rFonts w:ascii="Times New Roman" w:hAnsi="Times New Roman" w:eastAsia="Times New Roman" w:cs="Times New Roman"/>
          <w:b/>
          <w:i w:val="false"/>
          <w:i w:val="false"/>
          <w:iCs w:val="false"/>
          <w:color w:val="auto"/>
          <w:lang w:val="x-none" w:eastAsia="x-none"/>
        </w:rPr>
      </w:pPr>
      <w:bookmarkStart w:id="22" w:name="_Toc127175686"/>
      <w:r>
        <w:rPr>
          <w:rFonts w:eastAsia="Times New Roman" w:cs="Times New Roman" w:ascii="Times New Roman" w:hAnsi="Times New Roman"/>
          <w:b/>
          <w:i w:val="false"/>
          <w:iCs w:val="false"/>
          <w:color w:val="auto"/>
          <w:lang w:val="x-none" w:eastAsia="x-none"/>
        </w:rPr>
        <w:t>Требования к качеству услуг</w:t>
      </w:r>
      <w:bookmarkEnd w:id="22"/>
    </w:p>
    <w:p>
      <w:pPr>
        <w:pStyle w:val="Heading1"/>
        <w:keepLines/>
        <w:spacing w:before="240" w:after="0"/>
        <w:ind w:left="-1134" w:firstLine="1134"/>
        <w:jc w:val="right"/>
        <w:rPr>
          <w:rFonts w:eastAsia="Calibri"/>
          <w:bCs/>
          <w:sz w:val="23"/>
          <w:szCs w:val="23"/>
        </w:rPr>
      </w:pPr>
      <w:bookmarkStart w:id="23" w:name="_Toc127175687"/>
      <w:r>
        <w:rPr>
          <w:szCs w:val="24"/>
        </w:rPr>
        <w:t>Таблица </w:t>
      </w:r>
      <w:r>
        <w:rPr>
          <w:szCs w:val="24"/>
          <w:lang w:val="en-US"/>
        </w:rPr>
        <w:t>3</w:t>
      </w:r>
      <w:r>
        <w:rPr>
          <w:szCs w:val="24"/>
        </w:rPr>
        <w:t xml:space="preserve">. Требования к </w:t>
      </w:r>
      <w:r>
        <w:rPr>
          <w:szCs w:val="24"/>
          <w:lang w:val="ru-RU"/>
        </w:rPr>
        <w:t>качеству услуг</w:t>
      </w:r>
      <w:bookmarkEnd w:id="23"/>
      <w:r>
        <w:rPr>
          <w:szCs w:val="24"/>
        </w:rPr>
        <w:t xml:space="preserve"> </w:t>
      </w:r>
    </w:p>
    <w:tbl>
      <w:tblPr>
        <w:tblW w:w="14467" w:type="dxa"/>
        <w:jc w:val="left"/>
        <w:tblInd w:w="-5" w:type="dxa"/>
        <w:tblLayout w:type="fixed"/>
        <w:tblCellMar>
          <w:top w:w="0" w:type="dxa"/>
          <w:left w:w="8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53"/>
        <w:gridCol w:w="2267"/>
        <w:gridCol w:w="4250"/>
        <w:gridCol w:w="2269"/>
        <w:gridCol w:w="2698"/>
        <w:gridCol w:w="2129"/>
      </w:tblGrid>
      <w:tr>
        <w:trPr>
          <w:tblHeader w:val="true"/>
        </w:trPr>
        <w:tc>
          <w:tcPr>
            <w:tcW w:w="85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22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</w:t>
            </w:r>
          </w:p>
        </w:tc>
        <w:tc>
          <w:tcPr>
            <w:tcW w:w="4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Требование заказчика</w:t>
            </w:r>
          </w:p>
        </w:tc>
        <w:tc>
          <w:tcPr>
            <w:tcW w:w="49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Способ подтверждения участником соответствия требованиям</w:t>
            </w:r>
          </w:p>
        </w:tc>
        <w:tc>
          <w:tcPr>
            <w:tcW w:w="212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Предложение участника по характеристикам и параметрам</w:t>
            </w:r>
          </w:p>
        </w:tc>
      </w:tr>
      <w:tr>
        <w:trPr>
          <w:tblHeader w:val="true"/>
        </w:trPr>
        <w:tc>
          <w:tcPr>
            <w:tcW w:w="853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rFonts w:eastAsia="Calibri"/>
                <w:bCs/>
                <w:sz w:val="23"/>
                <w:szCs w:val="23"/>
                <w:lang w:val="x-none" w:eastAsia="x-none"/>
              </w:rPr>
            </w:r>
          </w:p>
        </w:tc>
        <w:tc>
          <w:tcPr>
            <w:tcW w:w="2267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rFonts w:eastAsia="Calibri"/>
                <w:bCs/>
                <w:sz w:val="23"/>
                <w:szCs w:val="23"/>
                <w:lang w:val="x-none" w:eastAsia="x-none"/>
              </w:rPr>
            </w:r>
          </w:p>
        </w:tc>
        <w:tc>
          <w:tcPr>
            <w:tcW w:w="425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rFonts w:eastAsia="Calibri"/>
                <w:bCs/>
                <w:sz w:val="23"/>
                <w:szCs w:val="23"/>
                <w:lang w:val="x-none" w:eastAsia="x-none"/>
              </w:rPr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Согласие с требованием/ указание характеристик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9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rFonts w:eastAsia="Calibri"/>
                <w:bCs/>
                <w:sz w:val="23"/>
                <w:szCs w:val="23"/>
                <w:lang w:val="x-none" w:eastAsia="x-none"/>
              </w:rPr>
            </w:r>
          </w:p>
        </w:tc>
      </w:tr>
      <w:tr>
        <w:trPr>
          <w:tblHeader w:val="true"/>
        </w:trPr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65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 xml:space="preserve">Требования к оказанию услуг 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65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rPr>
                <w:b/>
              </w:rPr>
            </w:pPr>
            <w:r>
              <w:rPr>
                <w:b/>
              </w:rPr>
              <w:t xml:space="preserve">Общие требования к оказанию услуг 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1.1.1.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/>
              <w:t>Место оказания услуг</w:t>
            </w:r>
          </w:p>
        </w:tc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jc w:val="both"/>
              <w:textAlignment w:val="baseline"/>
              <w:rPr>
                <w:color w:val="302709"/>
              </w:rPr>
            </w:pPr>
            <w:r>
              <w:rPr>
                <w:color w:val="302709"/>
              </w:rPr>
              <w:t xml:space="preserve">Услуги оказываются между адресами, указанными </w:t>
            </w:r>
            <w:r>
              <w:rPr/>
              <w:t>в п.1.5.1., п.1.5.2., п.1.5.3. настоящих ТТ.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i/>
                <w:i/>
                <w:sz w:val="23"/>
                <w:szCs w:val="23"/>
                <w:lang w:val="x-none" w:eastAsia="x-none"/>
              </w:rPr>
            </w:pPr>
            <w:r>
              <w:rPr>
                <w:i/>
                <w:color w:val="000000"/>
              </w:rPr>
              <w:t>согласие с требованием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1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outlineLvl w:val="2"/>
              <w:rPr>
                <w:bCs/>
                <w:sz w:val="23"/>
                <w:szCs w:val="23"/>
                <w:lang w:val="x-none" w:eastAsia="x-none"/>
              </w:rPr>
            </w:pPr>
            <w:bookmarkStart w:id="24" w:name="_Toc127175688"/>
            <w:bookmarkStart w:id="25" w:name="_Toc126309975"/>
            <w:bookmarkEnd w:id="25"/>
            <w:r>
              <w:rPr>
                <w:rFonts w:eastAsia="Times New Roman"/>
                <w:sz w:val="20"/>
                <w:szCs w:val="20"/>
              </w:rPr>
              <w:t>-</w:t>
            </w:r>
            <w:bookmarkEnd w:id="24"/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1650" w:hRule="atLeast"/>
        </w:trPr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1.1.2.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/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43" w:leader="none"/>
              </w:tabs>
              <w:ind w:left="34" w:hanging="0"/>
              <w:jc w:val="both"/>
              <w:textAlignment w:val="baseline"/>
              <w:rPr/>
            </w:pPr>
            <w:r>
              <w:rPr/>
              <w:t>При оказании услуг Исполнитель должен руководствоваться требованиями, указанными в п.1.2.1 настоящей Таблицы.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i/>
                <w:i/>
                <w:sz w:val="23"/>
                <w:szCs w:val="23"/>
                <w:lang w:val="x-none" w:eastAsia="x-none"/>
              </w:rPr>
            </w:pPr>
            <w:r>
              <w:rPr>
                <w:i/>
                <w:color w:val="000000"/>
              </w:rPr>
              <w:t>согласие с требованием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/>
              <w:t>-</w:t>
            </w:r>
            <w:r>
              <w:rPr>
                <w:bCs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/>
            </w:pPr>
            <w:r>
              <w:rPr/>
            </w:r>
          </w:p>
        </w:tc>
        <w:tc>
          <w:tcPr>
            <w:tcW w:w="65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Требования к процедурам оказания услуг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b/>
              </w:rPr>
              <w:t>-//-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center"/>
              <w:rPr>
                <w:highlight w:val="green"/>
                <w:lang w:eastAsia="x-none"/>
              </w:rPr>
            </w:pPr>
            <w:r>
              <w:rPr>
                <w:lang w:eastAsia="x-none"/>
              </w:rPr>
              <w:t>1.2.1.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rPr>
                <w:rFonts w:eastAsia="Calibri"/>
                <w:bCs/>
                <w:sz w:val="23"/>
                <w:szCs w:val="23"/>
                <w:lang w:eastAsia="x-none"/>
              </w:rPr>
            </w:pPr>
            <w:r>
              <w:rPr/>
              <w:t>Организация каналов</w:t>
            </w:r>
          </w:p>
        </w:tc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2" w:leader="none"/>
              </w:tabs>
              <w:ind w:left="0" w:hanging="0"/>
              <w:jc w:val="both"/>
              <w:rPr/>
            </w:pPr>
            <w:r>
              <w:rPr/>
              <w:t xml:space="preserve">Технические характеристики каналов должны соответствовать требованиям, изложенным в: 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91" w:leader="none"/>
                <w:tab w:val="left" w:pos="477" w:leader="none"/>
                <w:tab w:val="left" w:pos="760" w:leader="none"/>
              </w:tabs>
              <w:ind w:left="52" w:hanging="0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пункте 11 рекомендациях ITU-T </w:t>
            </w:r>
            <w:r>
              <w:rPr>
                <w:spacing w:val="-2"/>
                <w:lang w:val="en-US"/>
              </w:rPr>
              <w:t>G</w:t>
            </w:r>
            <w:r>
              <w:rPr>
                <w:spacing w:val="-2"/>
              </w:rPr>
              <w:t>.703 (</w:t>
            </w:r>
            <w:hyperlink r:id="rId5">
              <w:r>
                <w:rPr>
                  <w:spacing w:val="-2"/>
                  <w:u w:val="single"/>
                </w:rPr>
                <w:t>https://www.itu.int/rec/T-REC-G.703-201604-I/en</w:t>
              </w:r>
            </w:hyperlink>
            <w:r>
              <w:rPr>
                <w:spacing w:val="-2"/>
              </w:rPr>
              <w:t>);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91" w:leader="none"/>
                <w:tab w:val="left" w:pos="480" w:leader="none"/>
              </w:tabs>
              <w:ind w:left="0" w:hanging="0"/>
              <w:jc w:val="both"/>
              <w:rPr>
                <w:spacing w:val="-2"/>
              </w:rPr>
            </w:pPr>
            <w:r>
              <w:rPr>
                <w:spacing w:val="-2"/>
              </w:rPr>
              <w:t>пункте 7, Приложение №4 Приказа Мининформсвязи России от 23.11.2006 N 151 (ред. от 23.04.2013) "Об утверждении Правил применения цифровых систем передачи синхронной цифровой иерархии" (</w:t>
            </w:r>
            <w:hyperlink r:id="rId6">
              <w:r>
                <w:rPr>
                  <w:rStyle w:val="Hyperlink"/>
                  <w:spacing w:val="-2"/>
                </w:rPr>
                <w:t>https://www.consultant.ru/document/cons_doc_LAW_64797/</w:t>
              </w:r>
            </w:hyperlink>
            <w:r>
              <w:rPr>
                <w:spacing w:val="-2"/>
              </w:rPr>
              <w:t xml:space="preserve"> );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91" w:leader="none"/>
                <w:tab w:val="left" w:pos="480" w:leader="none"/>
              </w:tabs>
              <w:ind w:left="0" w:hanging="0"/>
              <w:jc w:val="both"/>
              <w:rPr>
                <w:spacing w:val="-2"/>
              </w:rPr>
            </w:pPr>
            <w:r>
              <w:rPr>
                <w:spacing w:val="-2"/>
              </w:rPr>
              <w:t>нормах на электрические параметры цифровых каналов и трактов магистральной и внутризоновой первичных сетей, утвержденным Приказом Министерства связи России №92 от 10.08.1996 (</w:t>
            </w:r>
            <w:hyperlink r:id="rId7">
              <w:r>
                <w:rPr>
                  <w:rStyle w:val="Hyperlink"/>
                  <w:spacing w:val="-2"/>
                </w:rPr>
                <w:t>http</w:t>
              </w:r>
              <w:r>
                <w:rPr>
                  <w:rStyle w:val="Hyperlink"/>
                  <w:spacing w:val="-2"/>
                  <w:lang w:val="en-US"/>
                </w:rPr>
                <w:t>s</w:t>
              </w:r>
              <w:r>
                <w:rPr>
                  <w:rStyle w:val="Hyperlink"/>
                  <w:spacing w:val="-2"/>
                </w:rPr>
                <w:t>://www.consultant.ru/cons/cgi/online.cgi?req=doc&amp;base=EXP&amp;n=306796</w:t>
              </w:r>
            </w:hyperlink>
            <w:r>
              <w:rPr>
                <w:spacing w:val="-2"/>
              </w:rPr>
              <w:t xml:space="preserve">). 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Наиболее предпочтительными являются наземные цифровые каналы с использованием технологии SDH.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При организации каналов связи использовать волоконно-оптические линии связи. Не допускается использование радиоканалов (вставок), в том числе: спутниковых каналов связи, радиорелейных линий связи и каналов беспроводного доступа.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 xml:space="preserve">При организации каналов связи необходимо их предварительное согласование с Пермским РДУ и ОДУ Урала, в том числе совместное тестирование в течение не менее 24 часов согласно методике указанной в   п. 5.2.2 СТО 56947007-33.180.10.240-2016 ПАО «ФСК ЕЭС» </w:t>
            </w:r>
            <w:r>
              <w:rPr>
                <w:rStyle w:val="Hyperlink"/>
                <w:spacing w:val="-2"/>
              </w:rPr>
              <w:t>(</w:t>
            </w:r>
            <w:hyperlink r:id="rId8">
              <w:r>
                <w:rPr>
                  <w:rStyle w:val="Hyperlink"/>
                  <w:spacing w:val="-2"/>
                </w:rPr>
                <w:t>https://www.rosseti.ru/upload/iblock/843/5pam4i2ef35x9ex7abttuh90pyhf41y5.pdf</w:t>
              </w:r>
            </w:hyperlink>
            <w:r>
              <w:rPr>
                <w:rStyle w:val="Hyperlink"/>
                <w:spacing w:val="-2"/>
              </w:rPr>
              <w:t>)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>
                <w:spacing w:val="-2"/>
              </w:rPr>
            </w:pPr>
            <w:r>
              <w:rPr/>
              <w:t xml:space="preserve">Оборудование Исполнителя, необходимое для оказания услуг, должно быть сертифицировано согласно ст. 41 Федерального закона «О связи» (№ 126-ФЗ от 07.07.2003 в ред. от 26.12.2024г.) </w:t>
            </w:r>
            <w:r>
              <w:rPr>
                <w:rStyle w:val="Hyperlink"/>
              </w:rPr>
              <w:t>(</w:t>
            </w:r>
            <w:hyperlink r:id="rId9">
              <w:r>
                <w:rPr>
                  <w:rStyle w:val="Hyperlink"/>
                  <w:spacing w:val="-2"/>
                </w:rPr>
                <w:t>https://www.consultant.ru/document/cons_doc_LAW_43224/</w:t>
              </w:r>
            </w:hyperlink>
            <w:r>
              <w:rPr>
                <w:rStyle w:val="Hyperlink"/>
              </w:rPr>
              <w:t>)</w:t>
            </w:r>
            <w:r>
              <w:rPr/>
              <w:t xml:space="preserve"> и разрешено для использования на территории РФ</w:t>
            </w:r>
            <w:r>
              <w:rPr>
                <w:spacing w:val="-2"/>
              </w:rPr>
              <w:t xml:space="preserve">. 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Исполнитель обеспечивает совместимость своего каналообразующего оборудования с телекоммуникационным оборудовани-ем Заказчика, указанным в п. 1.4.1. настоящих ТТ.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Исполнитель обеспечивает приоритезацию трафика (данных в потоке Е1) технологического канала связи при использовании технологии отличной от SDH (“Чистый канал”).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 xml:space="preserve">Сеть Исполнителя должна иметь разрешение в соответствии с требованиями Федерального закона «О связи» (№ 126-ФЗ от 07.07.2003 2003 в ред. от 26.12.2024г.)  </w:t>
            </w:r>
            <w:hyperlink r:id="rId10">
              <w:r>
                <w:rPr>
                  <w:rStyle w:val="Hyperlink"/>
                  <w:spacing w:val="-2"/>
                </w:rPr>
                <w:t>https://www.consultant.ru/document/cons_doc_LAW_43224/</w:t>
              </w:r>
            </w:hyperlink>
            <w:r>
              <w:rPr/>
              <w:t>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При организации канала связи необходимо использовать географически разнесенные трассы и раздельные линии доступа, проходящие по независимым физическим маршрутам, то есть, не имеющие общих точек отказа с существующим основным каналом связи, указанным в п.1.4.2., 1.4.3.  настоящих ТТ.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Исполнитель должен гарантировать коэффициент готовности канала связи не менее 0,98 для периода его эксплуатации, равного одному календарному году.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Функционирование каналов связи должно обеспечиваться 24 часа в сутки, 7 дней в неделю, 365 дней в году, за исключением перерывов для проведения ремонтных и аварийных работ.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Время восстановления работоспособности канала связи должно быть не более: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3" w:leader="none"/>
                <w:tab w:val="left" w:pos="391" w:leader="none"/>
              </w:tabs>
              <w:ind w:left="34" w:hanging="0"/>
              <w:jc w:val="both"/>
              <w:rPr/>
            </w:pPr>
            <w:r>
              <w:rPr/>
              <w:t xml:space="preserve"> </w:t>
            </w:r>
            <w:r>
              <w:rPr/>
              <w:t>- 4 часов в случае неисправности оборудования;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343" w:leader="none"/>
                <w:tab w:val="left" w:pos="391" w:leader="none"/>
              </w:tabs>
              <w:ind w:left="34" w:hanging="0"/>
              <w:jc w:val="both"/>
              <w:rPr/>
            </w:pPr>
            <w:r>
              <w:rPr/>
              <w:t xml:space="preserve">- 24 часов в случае неисправности кабеля. 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Недоступность канала в связи с профилактическими работами — не более 10512 минут от периода его эксплуатации, равного одному календарному году.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Некомпенсируемый период недоступности арендуемых каналов связи составляет не более 30 последовательных минут, не чаще 1 раза в месяц. Прерывание предоставления услуги начинается с момента обнаружения проблемы Исполнителем или обращения Заказчика в службу поддержки Исполнителя и завершается в момент решения проблемы.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Время простоя (неисправности) канала связи единовременно не должно превышать 30 мин, Исполнитель имеет право предоставить обходной канал на время, не превышающее время восстановления арендованного канала.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Плановые профилактические работы: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91" w:leader="none"/>
                <w:tab w:val="left" w:pos="480" w:leader="none"/>
              </w:tabs>
              <w:ind w:left="0" w:hanging="0"/>
              <w:jc w:val="both"/>
              <w:rPr/>
            </w:pPr>
            <w:r>
              <w:rPr>
                <w:spacing w:val="-2"/>
              </w:rPr>
              <w:t>Исполнитель</w:t>
            </w:r>
            <w:r>
              <w:rPr/>
              <w:t xml:space="preserve"> обязуется сообщать Заказчику о проведении плановых профилактических работ, связанных с прерыванием предоставления Услуги, не позднее, чем за 3 (три) рабочих дня до предполагаемого начала их проведения. Согласование таких работ с Заказчиком должно быть выполнено не позднее 1-го месяца до начала их проведения;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91" w:leader="none"/>
                <w:tab w:val="left" w:pos="480" w:leader="none"/>
              </w:tabs>
              <w:ind w:left="0" w:hanging="0"/>
              <w:jc w:val="both"/>
              <w:rPr/>
            </w:pPr>
            <w:r>
              <w:rPr>
                <w:spacing w:val="-2"/>
              </w:rPr>
              <w:t>Исполнитель</w:t>
            </w:r>
            <w:r>
              <w:rPr/>
              <w:t xml:space="preserve"> оставляет за собой право не информировать Заказчика о проведении плановых профилактических работ, не вызывающих прерывания предоставления Услуги;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91" w:leader="none"/>
                <w:tab w:val="left" w:pos="480" w:leader="none"/>
              </w:tabs>
              <w:ind w:left="0" w:hanging="0"/>
              <w:jc w:val="both"/>
              <w:rPr/>
            </w:pPr>
            <w:r>
              <w:rPr>
                <w:spacing w:val="-2"/>
              </w:rPr>
              <w:t>Проведение</w:t>
            </w:r>
            <w:r>
              <w:rPr/>
              <w:t xml:space="preserve"> Исполнителем плановых профилактических работ с прерыванием связи, согласованное Сторонами, не является Прерыванием предоставления Услуги в случае, если время их проведения не превышает 17-ти часов и данные работы проводятся не чаще 3-х раз в 12 месяцев; 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91" w:leader="none"/>
                <w:tab w:val="left" w:pos="480" w:leader="none"/>
              </w:tabs>
              <w:ind w:left="0" w:hanging="0"/>
              <w:jc w:val="both"/>
              <w:rPr/>
            </w:pPr>
            <w:r>
              <w:rPr>
                <w:spacing w:val="-2"/>
              </w:rPr>
              <w:t>Превышение</w:t>
            </w:r>
            <w:r>
              <w:rPr/>
              <w:t xml:space="preserve"> согласованного Сторонами времени проведения Исполнителем плановых профилактических работ является Прерыванием предоставления Услуги.</w:t>
            </w:r>
          </w:p>
          <w:p>
            <w:pPr>
              <w:pStyle w:val="ListParagraph"/>
              <w:widowControl w:val="false"/>
              <w:numPr>
                <w:ilvl w:val="3"/>
                <w:numId w:val="2"/>
              </w:numPr>
              <w:tabs>
                <w:tab w:val="clear" w:pos="708"/>
                <w:tab w:val="left" w:pos="391" w:leader="none"/>
                <w:tab w:val="left" w:pos="901" w:leader="none"/>
              </w:tabs>
              <w:ind w:left="0" w:hanging="0"/>
              <w:jc w:val="both"/>
              <w:rPr/>
            </w:pPr>
            <w:r>
              <w:rPr/>
              <w:t>При оказании услуг персонал Исполнителя должен соблюдать: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91" w:leader="none"/>
                <w:tab w:val="left" w:pos="480" w:leader="none"/>
              </w:tabs>
              <w:ind w:left="0" w:hanging="0"/>
              <w:jc w:val="both"/>
              <w:rPr/>
            </w:pPr>
            <w:r>
              <w:rPr>
                <w:spacing w:val="-2"/>
              </w:rPr>
              <w:t>существующий</w:t>
            </w:r>
            <w:r>
              <w:rPr/>
              <w:t xml:space="preserve"> пропускной, внутри объектовый и противопожарный режим;</w:t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08"/>
                <w:tab w:val="left" w:pos="391" w:leader="none"/>
                <w:tab w:val="left" w:pos="480" w:leader="none"/>
              </w:tabs>
              <w:ind w:left="0" w:hanging="0"/>
              <w:jc w:val="both"/>
              <w:rPr/>
            </w:pPr>
            <w:r>
              <w:rPr>
                <w:spacing w:val="-2"/>
              </w:rPr>
              <w:t>технологическую</w:t>
            </w:r>
            <w:r>
              <w:rPr/>
              <w:t>, производственную и трудовую дисциплину на ГЭС.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i/>
                <w:i/>
                <w:sz w:val="23"/>
                <w:szCs w:val="23"/>
                <w:lang w:val="x-none" w:eastAsia="x-none"/>
              </w:rPr>
            </w:pPr>
            <w:r>
              <w:rPr>
                <w:i/>
                <w:color w:val="000000"/>
              </w:rPr>
              <w:t>согласие с требованием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1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outlineLvl w:val="2"/>
              <w:rPr>
                <w:rFonts w:eastAsia="Times New Roman"/>
                <w:b w:val="false"/>
              </w:rPr>
            </w:pPr>
            <w:bookmarkStart w:id="26" w:name="_Toc126309976"/>
            <w:bookmarkEnd w:id="26"/>
            <w:r>
              <w:rPr/>
              <w:t>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6680" w:hRule="atLeast"/>
        </w:trPr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center"/>
              <w:rPr>
                <w:highlight w:val="green"/>
                <w:lang w:eastAsia="x-none"/>
              </w:rPr>
            </w:pPr>
            <w:r>
              <w:rPr>
                <w:lang w:eastAsia="x-none"/>
              </w:rPr>
              <w:t>1.2.2.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/>
              <w:t>Служба технической поддержки</w:t>
            </w:r>
          </w:p>
        </w:tc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043" w:leader="none"/>
              </w:tabs>
              <w:jc w:val="both"/>
              <w:rPr/>
            </w:pPr>
            <w:r>
              <w:rPr/>
              <w:t xml:space="preserve">1.2.2.1. Контроль за качеством оказания услуг со стороны Исполнителя должна осуществлять Служба технической поддержки.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43" w:leader="none"/>
              </w:tabs>
              <w:ind w:left="51" w:hanging="0"/>
              <w:jc w:val="both"/>
              <w:rPr/>
            </w:pPr>
            <w:r>
              <w:rPr/>
              <w:t>1.2.2.2. Служба технической поддержки Исполнителя должна быть круглосуточно доступна для обращения Заказчика по телефону в режиме «24х7» – 24 часа в сутки, 7 дней в неделю, 365 дней в году. Специалисты Службы технической поддержки Исполнителя должны незамедлительно, после обращения специалистов Заказчика, дать развернутый детальный ответ на их запрос.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043" w:leader="none"/>
              </w:tabs>
              <w:ind w:left="51" w:hanging="0"/>
              <w:jc w:val="both"/>
              <w:rPr/>
            </w:pPr>
            <w:r>
              <w:rPr/>
              <w:t>1.2.2.3. Если Заказчик считает, что услуги предоставляются с ухудшением качества, Исполнитель должен действовать в соответствии Порядком взаимодействия Служб технической поддержи Заказчика и Исполнителя при обнаружении ухудшения качества услуг (Приложение 1 к настоящим ТТ).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согласие с требованием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17"/>
              <w:keepNext w:val="false"/>
              <w:widowControl w:val="false"/>
              <w:numPr>
                <w:ilvl w:val="0"/>
                <w:numId w:val="8"/>
              </w:numPr>
              <w:spacing w:before="0" w:after="60"/>
              <w:outlineLvl w:val="2"/>
              <w:rPr>
                <w:rFonts w:eastAsia="Times New Roman"/>
                <w:b w:val="false"/>
                <w:sz w:val="20"/>
                <w:szCs w:val="20"/>
                <w:lang w:val="en-US"/>
              </w:rPr>
            </w:pPr>
            <w:r>
              <w:rPr>
                <w:rFonts w:eastAsia="Times New Roman"/>
                <w:b w:val="false"/>
                <w:sz w:val="20"/>
                <w:szCs w:val="20"/>
                <w:lang w:val="en-US"/>
              </w:rPr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65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rPr>
                <w:b/>
              </w:rPr>
            </w:pPr>
            <w:r>
              <w:rPr>
                <w:b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4255" w:hRule="atLeast"/>
        </w:trPr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1.3.1.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/>
              <w:t>Требования к используемым приборам,  оборудованию/ системам при организации каналов связи</w:t>
            </w:r>
          </w:p>
        </w:tc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bCs/>
              </w:rPr>
            </w:pPr>
            <w:r>
              <w:rPr>
                <w:bCs/>
              </w:rPr>
              <w:t xml:space="preserve">Наличие у Исполнителя на правах собственности/аренды/на иных законных основаниях материально технических ресурсов для оказания услуг по предоставлению цифровых технологических каналов связи потоком Е1 (в соответствии со стандартом </w:t>
            </w:r>
            <w:r>
              <w:rPr>
                <w:bCs/>
                <w:lang w:val="en-US"/>
              </w:rPr>
              <w:t>G</w:t>
            </w:r>
            <w:r>
              <w:rPr>
                <w:bCs/>
              </w:rPr>
              <w:t>.703) в полном объеме, включая: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619" w:leader="none"/>
              </w:tabs>
              <w:ind w:left="0" w:right="62" w:hanging="0"/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анализатор потока/тестер потока E1 – не менее 1 шт.,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619" w:leader="none"/>
              </w:tabs>
              <w:ind w:left="0" w:right="62" w:hanging="0"/>
              <w:jc w:val="both"/>
              <w:rPr>
                <w:color w:val="000000"/>
              </w:rPr>
            </w:pPr>
            <w:r>
              <w:rPr>
                <w:color w:val="000000"/>
              </w:rPr>
              <w:t>аппарат для сварки оптических волокон – не менее 1 шт.,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619" w:leader="none"/>
              </w:tabs>
              <w:ind w:left="0" w:right="62" w:hanging="0"/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 мониторинга телекоммуникационного оборудования – не менее 1 шт.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619" w:leader="none"/>
              </w:tabs>
              <w:ind w:left="0" w:right="62" w:hanging="0"/>
              <w:jc w:val="both"/>
              <w:rPr>
                <w:color w:val="000000"/>
              </w:rPr>
            </w:pPr>
            <w:r>
              <w:rPr>
                <w:color w:val="000000"/>
              </w:rPr>
              <w:t>Подтверждается путем представления Исполнителем соответствующих сведений в произвольной форме на стадии подписании договора.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i/>
                <w:i/>
                <w:sz w:val="23"/>
                <w:szCs w:val="23"/>
                <w:lang w:val="x-none" w:eastAsia="x-none"/>
              </w:rPr>
            </w:pPr>
            <w:r>
              <w:rPr>
                <w:i/>
                <w:color w:val="000000"/>
              </w:rPr>
              <w:t>согласие с требованием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bCs/>
              </w:rPr>
              <w:t>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65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Требования к персоналу исполнителя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b/>
              </w:rPr>
              <w:t>-//-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spacing w:before="60" w:after="60"/>
              <w:ind w:left="25" w:hanging="0"/>
              <w:contextualSpacing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1.4.1.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rPr>
                <w:iCs/>
              </w:rPr>
            </w:pPr>
            <w:r>
              <w:rPr>
                <w:iCs/>
              </w:rPr>
              <w:t>Требование к персоналу и подтверждение его компетентности</w:t>
            </w:r>
          </w:p>
        </w:tc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40" w:leader="none"/>
              </w:tabs>
              <w:jc w:val="both"/>
              <w:rPr/>
            </w:pPr>
            <w:r>
              <w:rPr/>
              <w:t>Наличие в штате Исполнителя (или по трудовым/гражданско-правовым договорам) следующих кадровых ресурсов: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ind w:left="16" w:hanging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а) Персонала, обладающего следующими группами допуска по электробезопасности: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619" w:leader="none"/>
              </w:tabs>
              <w:ind w:left="0" w:right="62" w:firstLine="193"/>
              <w:jc w:val="both"/>
              <w:rPr>
                <w:lang w:eastAsia="ar-SA"/>
              </w:rPr>
            </w:pPr>
            <w:r>
              <w:rPr>
                <w:lang w:val="en-US" w:eastAsia="ar-SA"/>
              </w:rPr>
              <w:t>IV</w:t>
            </w:r>
            <w:r>
              <w:rPr>
                <w:lang w:eastAsia="ar-SA"/>
              </w:rPr>
              <w:t xml:space="preserve"> группа – производитель работ (не менее 1 чел.);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619" w:leader="none"/>
              </w:tabs>
              <w:ind w:left="0" w:right="62" w:firstLine="193"/>
              <w:jc w:val="both"/>
              <w:rPr>
                <w:lang w:eastAsia="ar-SA"/>
              </w:rPr>
            </w:pPr>
            <w:r>
              <w:rPr>
                <w:lang w:val="en-US" w:eastAsia="ar-SA"/>
              </w:rPr>
              <w:t>III</w:t>
            </w:r>
            <w:r>
              <w:rPr>
                <w:lang w:eastAsia="ar-SA"/>
              </w:rPr>
              <w:t xml:space="preserve"> группа – члены бригады (не менее 2 чел.);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1" w:leader="none"/>
                <w:tab w:val="left" w:pos="540" w:leader="none"/>
              </w:tabs>
              <w:ind w:left="60" w:right="62" w:hanging="0"/>
              <w:jc w:val="both"/>
              <w:rPr/>
            </w:pPr>
            <w:r>
              <w:rPr>
                <w:lang w:eastAsia="ar-SA"/>
              </w:rPr>
              <w:t>б) Службы технической поддержки (инженерно-технические специалисты</w:t>
            </w:r>
            <w:r>
              <w:rPr/>
              <w:t>)</w:t>
            </w:r>
            <w:r>
              <w:rPr>
                <w:lang w:eastAsia="ar-SA"/>
              </w:rPr>
              <w:t xml:space="preserve"> – </w:t>
            </w:r>
            <w:r>
              <w:rPr/>
              <w:t>не менее 3 чел.;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1" w:leader="none"/>
                <w:tab w:val="left" w:pos="540" w:leader="none"/>
              </w:tabs>
              <w:ind w:left="60" w:right="62" w:hanging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в)</w:t>
            </w:r>
            <w:r>
              <w:rPr>
                <w:b/>
                <w:lang w:val="en-US"/>
              </w:rPr>
              <w:t>   </w:t>
            </w:r>
            <w:r>
              <w:rPr>
                <w:lang w:eastAsia="ar-SA"/>
              </w:rPr>
              <w:t xml:space="preserve">Инженерно-технические специалисты по организации цифрового потока Е1 (монтаж, настройка, диагностика) – </w:t>
            </w:r>
            <w:r>
              <w:rPr/>
              <w:t>не менее 1 чел.</w:t>
            </w:r>
            <w:r>
              <w:rPr>
                <w:lang w:eastAsia="ar-SA"/>
              </w:rPr>
              <w:t>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1" w:leader="none"/>
              </w:tabs>
              <w:ind w:left="60" w:right="62" w:hanging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г)</w:t>
            </w:r>
            <w:r>
              <w:rPr>
                <w:b/>
                <w:lang w:val="en-US"/>
              </w:rPr>
              <w:t>   </w:t>
            </w:r>
            <w:r>
              <w:rPr>
                <w:lang w:eastAsia="ar-SA"/>
              </w:rPr>
              <w:t xml:space="preserve">Инженерно-технические специалисты по обслуживанию ВОЛС (монтаж, прокладка, измерения) – </w:t>
            </w:r>
            <w:r>
              <w:rPr/>
              <w:t>не менее 1 чел</w:t>
            </w:r>
            <w:r>
              <w:rPr>
                <w:lang w:eastAsia="ar-SA"/>
              </w:rPr>
              <w:t>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41" w:leader="none"/>
              </w:tabs>
              <w:ind w:left="60" w:right="62" w:hanging="0"/>
              <w:jc w:val="both"/>
              <w:rPr>
                <w:color w:val="000000"/>
              </w:rPr>
            </w:pPr>
            <w:r>
              <w:rPr>
                <w:color w:val="000000"/>
              </w:rPr>
              <w:t>Подтверждается путем представления Исполнителем соответствующих сведений в произвольной форме на стадии подписании договора.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/>
                <w:i/>
                <w:color w:val="000000"/>
              </w:rPr>
            </w:pPr>
            <w:r>
              <w:rPr>
                <w:i/>
                <w:color w:val="000000"/>
              </w:rPr>
              <w:t>согласие с требованием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/>
              <w:t>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color w:val="000000"/>
              </w:rPr>
            </w:pPr>
            <w:r>
              <w:rPr>
                <w:b/>
                <w:color w:val="000000"/>
                <w:lang w:eastAsia="x-none"/>
              </w:rPr>
              <w:t>2.</w:t>
            </w:r>
          </w:p>
        </w:tc>
        <w:tc>
          <w:tcPr>
            <w:tcW w:w="65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color w:val="000000"/>
                <w:lang w:val="en-US"/>
              </w:rPr>
            </w:pPr>
            <w:r>
              <w:rPr>
                <w:b/>
                <w:bCs/>
              </w:rPr>
              <w:t>Требования к оказанию у</w:t>
            </w:r>
            <w:r>
              <w:rPr>
                <w:b/>
              </w:rPr>
              <w:t>слуг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b/>
              </w:rPr>
              <w:t>-//-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rFonts w:eastAsia="Calibri"/>
                <w:bCs/>
                <w:sz w:val="23"/>
                <w:szCs w:val="23"/>
                <w:lang w:val="x-none" w:eastAsia="x-none"/>
              </w:rPr>
            </w:r>
          </w:p>
        </w:tc>
      </w:tr>
      <w:tr>
        <w:trPr>
          <w:trHeight w:val="836" w:hRule="atLeast"/>
        </w:trPr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color w:val="000000"/>
              </w:rPr>
            </w:pPr>
            <w:r>
              <w:rPr>
                <w:b/>
                <w:color w:val="000000"/>
                <w:lang w:eastAsia="x-none"/>
              </w:rPr>
              <w:t>2.1.</w:t>
            </w:r>
          </w:p>
        </w:tc>
        <w:tc>
          <w:tcPr>
            <w:tcW w:w="65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rPr>
                <w:color w:val="000000"/>
              </w:rPr>
            </w:pPr>
            <w:r>
              <w:rPr>
                <w:b/>
              </w:rPr>
              <w:t>Требования к документации, передаваемой до начала оказания услуг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b/>
              </w:rPr>
              <w:t>-//-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rFonts w:eastAsia="Calibri"/>
                <w:bCs/>
                <w:sz w:val="23"/>
                <w:szCs w:val="23"/>
                <w:lang w:val="x-none" w:eastAsia="x-none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lang w:eastAsia="x-none"/>
              </w:rPr>
              <w:t>2.1.1.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color w:val="000000"/>
              </w:rPr>
              <w:t xml:space="preserve">Документы, передаваемые Заказчику </w:t>
            </w:r>
            <w:r>
              <w:rPr/>
              <w:t>до начала оказания услуг</w:t>
            </w:r>
          </w:p>
        </w:tc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1043" w:leader="none"/>
              </w:tabs>
              <w:ind w:left="52" w:hanging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2.1.1.1. До начала оказания услуг Исполнитель предоставляет следующие документы: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526" w:leader="none"/>
                <w:tab w:val="left" w:pos="619" w:leader="none"/>
              </w:tabs>
              <w:ind w:left="52" w:right="62" w:hanging="0"/>
              <w:jc w:val="both"/>
              <w:rPr>
                <w:iCs/>
                <w:color w:val="000000"/>
              </w:rPr>
            </w:pPr>
            <w:r>
              <w:rPr>
                <w:lang w:eastAsia="ar-SA"/>
              </w:rPr>
              <w:t>пояснительную</w:t>
            </w:r>
            <w:r>
              <w:rPr>
                <w:iCs/>
                <w:color w:val="000000"/>
              </w:rPr>
              <w:t xml:space="preserve"> записку, чертежи, схемы прохождения канала;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526" w:leader="none"/>
                <w:tab w:val="left" w:pos="619" w:leader="none"/>
              </w:tabs>
              <w:ind w:left="52" w:right="62" w:hanging="0"/>
              <w:jc w:val="both"/>
              <w:rPr>
                <w:iCs/>
                <w:color w:val="000000"/>
              </w:rPr>
            </w:pPr>
            <w:r>
              <w:rPr>
                <w:lang w:eastAsia="ar-SA"/>
              </w:rPr>
              <w:t>согласованную</w:t>
            </w:r>
            <w:r>
              <w:rPr>
                <w:iCs/>
                <w:color w:val="000000"/>
              </w:rPr>
              <w:t xml:space="preserve"> с </w:t>
            </w:r>
            <w:r>
              <w:rPr>
                <w:bCs/>
              </w:rPr>
              <w:t>Пермским РДУ</w:t>
            </w:r>
            <w:r>
              <w:rPr>
                <w:iCs/>
                <w:color w:val="000000"/>
              </w:rPr>
              <w:t xml:space="preserve"> программу проверки качества канала;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526" w:leader="none"/>
                <w:tab w:val="left" w:pos="619" w:leader="none"/>
              </w:tabs>
              <w:ind w:left="52" w:right="62" w:hanging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  <w:lang w:eastAsia="ar-SA"/>
              </w:rPr>
              <w:t>согласованную</w:t>
            </w:r>
            <w:r>
              <w:rPr>
                <w:iCs/>
                <w:color w:val="000000"/>
              </w:rPr>
              <w:t xml:space="preserve"> с ОДУ Урала программу проверки качества канала;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526" w:leader="none"/>
                <w:tab w:val="left" w:pos="619" w:leader="none"/>
              </w:tabs>
              <w:ind w:left="52" w:right="62" w:hanging="0"/>
              <w:jc w:val="both"/>
              <w:rPr>
                <w:iCs/>
                <w:color w:val="000000"/>
              </w:rPr>
            </w:pPr>
            <w:r>
              <w:rPr>
                <w:lang w:eastAsia="ar-SA"/>
              </w:rPr>
              <w:t>Протокол</w:t>
            </w:r>
            <w:r>
              <w:rPr>
                <w:iCs/>
                <w:color w:val="000000"/>
              </w:rPr>
              <w:t xml:space="preserve"> тестирования каналов связи Исполнителем совместно с </w:t>
            </w:r>
            <w:r>
              <w:rPr>
                <w:bCs/>
              </w:rPr>
              <w:t>Пермским РДУ;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526" w:leader="none"/>
                <w:tab w:val="left" w:pos="619" w:leader="none"/>
              </w:tabs>
              <w:ind w:left="52" w:right="62" w:hanging="0"/>
              <w:jc w:val="both"/>
              <w:rPr>
                <w:iCs/>
                <w:color w:val="000000"/>
              </w:rPr>
            </w:pPr>
            <w:r>
              <w:rPr>
                <w:bCs/>
                <w:iCs/>
                <w:color w:val="000000"/>
                <w:lang w:eastAsia="ar-SA"/>
              </w:rPr>
              <w:t>Протокол</w:t>
            </w:r>
            <w:r>
              <w:rPr>
                <w:bCs/>
                <w:iCs/>
                <w:color w:val="000000"/>
              </w:rPr>
              <w:t xml:space="preserve"> тестирования каналов связи Исполнителем совместно с ОДУ Урала. </w:t>
            </w:r>
            <w:r>
              <w:rPr>
                <w:iCs/>
                <w:color w:val="000000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6" w:leader="none"/>
                <w:tab w:val="left" w:pos="980" w:leader="none"/>
              </w:tabs>
              <w:ind w:left="52" w:hanging="0"/>
              <w:jc w:val="both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iCs/>
                <w:color w:val="000000"/>
              </w:rPr>
              <w:t>2</w:t>
            </w:r>
            <w:r>
              <w:rPr>
                <w:lang w:eastAsia="ar-SA"/>
              </w:rPr>
              <w:t xml:space="preserve">.1.1.2. </w:t>
            </w:r>
            <w:r>
              <w:rPr>
                <w:iCs/>
                <w:color w:val="000000"/>
              </w:rPr>
              <w:t>Документация должна быть представлена на бумажном носителе в 2-х экземплярах и в электронном виде в форматах Word, Excel, Visio.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i/>
                <w:i/>
                <w:sz w:val="23"/>
                <w:szCs w:val="23"/>
                <w:lang w:val="x-none" w:eastAsia="x-none"/>
              </w:rPr>
            </w:pPr>
            <w:r>
              <w:rPr>
                <w:i/>
                <w:color w:val="000000"/>
              </w:rPr>
              <w:t>согласие с требованием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/>
              <w:t>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before="60" w:after="60"/>
              <w:ind w:left="737" w:hanging="737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val="en-US" w:eastAsia="x-none"/>
              </w:rPr>
              <w:t>3</w:t>
            </w:r>
            <w:r>
              <w:rPr>
                <w:b/>
                <w:lang w:eastAsia="x-none"/>
              </w:rPr>
              <w:t>.</w:t>
            </w:r>
          </w:p>
        </w:tc>
        <w:tc>
          <w:tcPr>
            <w:tcW w:w="651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rPr>
                <w:color w:val="000000"/>
              </w:rPr>
            </w:pPr>
            <w:r>
              <w:rPr>
                <w:b/>
                <w:color w:val="000000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-//-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b/>
              </w:rPr>
              <w:t>-//-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rFonts w:eastAsia="Calibri"/>
                <w:bCs/>
                <w:sz w:val="23"/>
                <w:szCs w:val="23"/>
                <w:lang w:val="x-none" w:eastAsia="x-none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spacing w:before="60" w:after="60"/>
              <w:ind w:left="-117" w:hang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lang w:eastAsia="x-none"/>
              </w:rPr>
              <w:t>3.1.1.</w:t>
            </w:r>
          </w:p>
        </w:tc>
        <w:tc>
          <w:tcPr>
            <w:tcW w:w="22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41" w:leader="none"/>
              </w:tabs>
              <w:ind w:right="62" w:hanging="0"/>
              <w:jc w:val="both"/>
              <w:rPr>
                <w:rFonts w:eastAsia="Calibri"/>
                <w:bCs/>
                <w:sz w:val="23"/>
                <w:szCs w:val="23"/>
                <w:lang w:eastAsia="x-none"/>
              </w:rPr>
            </w:pPr>
            <w:r>
              <w:rPr>
                <w:color w:val="000000"/>
              </w:rPr>
              <w:t>Наличие лицензий Федеральной службы по надзору в сфере связи, информационных технологий и массовых коммуникаций (Роскомнадзор)</w:t>
            </w:r>
          </w:p>
        </w:tc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193" w:leader="none"/>
              </w:tabs>
              <w:ind w:right="62" w:hanging="0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Исполнитель должен иметь следующие действующие лицензии Федеральной службы по надзору в сфере связи, информационных технологий и массовых коммуникаций (Роскомнадзор):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193" w:leader="none"/>
                <w:tab w:val="left" w:pos="619" w:leader="none"/>
              </w:tabs>
              <w:ind w:left="0" w:right="62" w:hanging="0"/>
              <w:jc w:val="both"/>
              <w:rPr>
                <w:color w:val="000000"/>
              </w:rPr>
            </w:pPr>
            <w:r>
              <w:rPr>
                <w:lang w:eastAsia="ar-SA"/>
              </w:rPr>
              <w:t>лицензия</w:t>
            </w:r>
            <w:r>
              <w:rPr>
                <w:color w:val="000000"/>
              </w:rPr>
              <w:t xml:space="preserve"> на услуги связи по передаче данных, за исключением услуг связи по передаче данных для целей передачи голосовой информации;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193" w:leader="none"/>
                <w:tab w:val="left" w:pos="619" w:leader="none"/>
              </w:tabs>
              <w:ind w:left="0" w:right="62" w:hanging="0"/>
              <w:jc w:val="both"/>
              <w:rPr>
                <w:color w:val="000000"/>
              </w:rPr>
            </w:pPr>
            <w:r>
              <w:rPr>
                <w:lang w:eastAsia="ar-SA"/>
              </w:rPr>
              <w:t>лицензия</w:t>
            </w:r>
            <w:r>
              <w:rPr>
                <w:color w:val="000000"/>
              </w:rPr>
              <w:t xml:space="preserve"> на оказание услуг связи по предоставлению каналов связи;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193" w:leader="none"/>
                <w:tab w:val="left" w:pos="619" w:leader="none"/>
              </w:tabs>
              <w:ind w:left="0" w:right="62" w:hanging="0"/>
              <w:jc w:val="both"/>
              <w:rPr>
                <w:color w:val="000000"/>
              </w:rPr>
            </w:pPr>
            <w:r>
              <w:rPr>
                <w:lang w:eastAsia="ar-SA"/>
              </w:rPr>
              <w:t>лицензия</w:t>
            </w:r>
            <w:r>
              <w:rPr>
                <w:color w:val="000000"/>
              </w:rPr>
              <w:t xml:space="preserve"> на оказание телематических услуг.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93" w:leader="none"/>
                <w:tab w:val="left" w:pos="619" w:leader="none"/>
              </w:tabs>
              <w:ind w:left="0" w:right="62" w:hanging="0"/>
              <w:jc w:val="both"/>
              <w:rPr>
                <w:color w:val="000000"/>
              </w:rPr>
            </w:pPr>
            <w:r>
              <w:rPr>
                <w:lang w:eastAsia="ar-SA"/>
              </w:rPr>
              <w:t xml:space="preserve">(Подтверждается предоставлением </w:t>
            </w:r>
            <w:r>
              <w:rPr/>
              <w:t>копий указанных лицензий на стадии подписании договора).</w:t>
            </w:r>
          </w:p>
        </w:tc>
        <w:tc>
          <w:tcPr>
            <w:tcW w:w="22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eastAsia="Calibri"/>
                <w:bCs/>
                <w:i/>
                <w:i/>
                <w:sz w:val="23"/>
                <w:szCs w:val="23"/>
                <w:lang w:val="x-none" w:eastAsia="x-none"/>
              </w:rPr>
            </w:pPr>
            <w:r>
              <w:rPr>
                <w:i/>
                <w:color w:val="000000"/>
              </w:rPr>
              <w:t>согласие с требованием</w:t>
            </w:r>
          </w:p>
        </w:tc>
        <w:tc>
          <w:tcPr>
            <w:tcW w:w="2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Style17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outlineLvl w:val="2"/>
              <w:rPr>
                <w:b w:val="false"/>
                <w:bCs/>
                <w:sz w:val="23"/>
                <w:szCs w:val="23"/>
                <w:lang w:val="x-none" w:eastAsia="x-none"/>
              </w:rPr>
            </w:pPr>
            <w:bookmarkStart w:id="27" w:name="_Toc126309977"/>
            <w:bookmarkEnd w:id="27"/>
            <w:r>
              <w:rPr>
                <w:b w:val="false"/>
                <w:color w:val="000000"/>
              </w:rPr>
              <w:t>-</w:t>
            </w:r>
          </w:p>
        </w:tc>
        <w:tc>
          <w:tcPr>
            <w:tcW w:w="21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keepNext w:val="true"/>
              <w:widowControl w:val="false"/>
              <w:spacing w:before="60" w:after="60"/>
              <w:jc w:val="center"/>
              <w:rPr>
                <w:rFonts w:eastAsia="Calibri"/>
                <w:bCs/>
                <w:sz w:val="23"/>
                <w:szCs w:val="23"/>
                <w:lang w:val="x-none" w:eastAsia="x-none"/>
              </w:rPr>
            </w:pPr>
            <w:r>
              <w:rPr>
                <w:rFonts w:eastAsia="Calibri"/>
                <w:bCs/>
                <w:sz w:val="23"/>
                <w:szCs w:val="23"/>
                <w:lang w:val="x-none" w:eastAsia="x-none"/>
              </w:rPr>
            </w:r>
            <w:bookmarkStart w:id="28" w:name="_Hlk124242469"/>
            <w:bookmarkStart w:id="29" w:name="_Hlk124242469"/>
            <w:bookmarkEnd w:id="29"/>
          </w:p>
        </w:tc>
      </w:tr>
    </w:tbl>
    <w:p>
      <w:pPr>
        <w:pStyle w:val="Normal"/>
        <w:spacing w:before="120" w:after="60"/>
        <w:ind w:left="425" w:hanging="0"/>
        <w:jc w:val="both"/>
        <w:rPr>
          <w:b/>
          <w:iCs/>
        </w:rPr>
      </w:pPr>
      <w:r>
        <w:rPr>
          <w:b/>
          <w:iCs/>
        </w:rPr>
        <w:t>2.2.1. В составе заявки необходимо предоставить:</w:t>
      </w:r>
    </w:p>
    <w:p>
      <w:pPr>
        <w:pStyle w:val="Normal"/>
        <w:tabs>
          <w:tab w:val="clear" w:pos="708"/>
          <w:tab w:val="left" w:pos="567" w:leader="none"/>
        </w:tabs>
        <w:spacing w:before="0" w:after="60"/>
        <w:jc w:val="both"/>
        <w:rPr>
          <w:b/>
          <w:iCs/>
        </w:rPr>
      </w:pPr>
      <w:r>
        <w:rPr>
          <w:iCs/>
        </w:rPr>
        <w:t xml:space="preserve">Участник в составе своего предложения для подтверждения соответствия заявленных характеристик и конструктива предлагаемой продукции требованиям настоящих ТТ, предоставляет следующие документы: </w:t>
      </w:r>
    </w:p>
    <w:p>
      <w:pPr>
        <w:sectPr>
          <w:footerReference w:type="default" r:id="rId11"/>
          <w:footerReference w:type="first" r:id="rId12"/>
          <w:type w:val="nextPage"/>
          <w:pgSz w:orient="landscape" w:w="16838" w:h="11906"/>
          <w:pgMar w:left="1843" w:right="567" w:gutter="0" w:header="0" w:top="992" w:footer="720" w:bottom="777"/>
          <w:pgNumType w:fmt="decimal"/>
          <w:formProt w:val="false"/>
          <w:textDirection w:val="lrTb"/>
          <w:docGrid w:type="default" w:linePitch="100" w:charSpace="0"/>
        </w:sectPr>
        <w:pStyle w:val="ListParagraph"/>
        <w:numPr>
          <w:ilvl w:val="0"/>
          <w:numId w:val="9"/>
        </w:numPr>
        <w:tabs>
          <w:tab w:val="clear" w:pos="708"/>
          <w:tab w:val="left" w:pos="567" w:leader="none"/>
        </w:tabs>
        <w:spacing w:before="0" w:after="60"/>
        <w:ind w:left="0" w:hanging="0"/>
        <w:contextualSpacing/>
        <w:jc w:val="both"/>
        <w:rPr>
          <w:iCs/>
        </w:rPr>
      </w:pPr>
      <w:r>
        <w:rPr>
          <w:iCs/>
        </w:rPr>
        <w:t>Техническое предложение, подготовленное в соответствии с настоящими ТТ по форме Таблицы 3.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314" w:leader="none"/>
        </w:tabs>
        <w:spacing w:before="240" w:after="0"/>
        <w:ind w:left="714" w:hanging="357"/>
        <w:contextualSpacing/>
        <w:jc w:val="center"/>
        <w:rPr/>
      </w:pPr>
      <w:r>
        <w:rPr>
          <w:rFonts w:eastAsia="Calibri"/>
          <w:b/>
          <w:sz w:val="28"/>
          <w:szCs w:val="28"/>
        </w:rPr>
        <w:t>Требования к документации по ценообразованию на этапе закупки</w:t>
      </w:r>
    </w:p>
    <w:p>
      <w:pPr>
        <w:pStyle w:val="Normal"/>
        <w:spacing w:before="60" w:after="0"/>
        <w:jc w:val="both"/>
        <w:rPr/>
      </w:pPr>
      <w:r>
        <w:rPr/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Докумен-тации о закупке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314" w:leader="none"/>
        </w:tabs>
        <w:spacing w:before="240" w:after="0"/>
        <w:ind w:left="714" w:hanging="357"/>
        <w:contextualSpacing/>
        <w:jc w:val="center"/>
        <w:rPr>
          <w:rFonts w:eastAsia="Calibri"/>
          <w:sz w:val="28"/>
          <w:szCs w:val="28"/>
        </w:rPr>
      </w:pPr>
      <w:bookmarkStart w:id="30" w:name="_Toc129766370"/>
      <w:r>
        <w:rPr>
          <w:rFonts w:eastAsia="Calibri"/>
          <w:b/>
          <w:sz w:val="28"/>
          <w:szCs w:val="28"/>
        </w:rPr>
        <w:t>Приложения</w:t>
      </w:r>
      <w:bookmarkEnd w:id="30"/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before="60" w:after="0"/>
        <w:jc w:val="both"/>
        <w:rPr>
          <w:bCs/>
        </w:rPr>
      </w:pPr>
      <w:r>
        <w:rPr>
          <w:bCs/>
        </w:rPr>
        <w:t>Приложение 1. Порядок взаимодействия Служб технической поддержки Заказчика и Исполнителя при обнаружении ухудшения качества Услуг.</w:t>
      </w:r>
    </w:p>
    <w:p>
      <w:pPr>
        <w:pStyle w:val="Normal"/>
        <w:spacing w:before="120" w:after="0"/>
        <w:jc w:val="both"/>
        <w:rPr>
          <w:bCs/>
        </w:rPr>
      </w:pPr>
      <w:r>
        <w:rPr>
          <w:lang w:val="x-none" w:eastAsia="x-none"/>
        </w:rPr>
      </w:r>
      <w:r>
        <w:br w:type="page"/>
      </w:r>
    </w:p>
    <w:p>
      <w:pPr>
        <w:pStyle w:val="Heading4"/>
        <w:ind w:firstLine="6096"/>
        <w:rPr>
          <w:rFonts w:ascii="Times New Roman" w:hAnsi="Times New Roman" w:eastAsia="Times New Roman" w:cs="Times New Roman"/>
          <w:i w:val="false"/>
          <w:i w:val="false"/>
          <w:iCs w:val="false"/>
          <w:color w:val="auto"/>
          <w:lang w:val="x-none" w:eastAsia="x-none"/>
        </w:rPr>
      </w:pPr>
      <w:r>
        <w:rPr>
          <w:rFonts w:eastAsia="Times New Roman" w:cs="Times New Roman" w:ascii="Times New Roman" w:hAnsi="Times New Roman"/>
          <w:i w:val="false"/>
          <w:iCs w:val="false"/>
          <w:color w:val="auto"/>
          <w:lang w:val="x-none" w:eastAsia="x-none"/>
        </w:rPr>
        <w:t xml:space="preserve">Приложение №1 </w:t>
      </w:r>
    </w:p>
    <w:p>
      <w:pPr>
        <w:pStyle w:val="Heading4"/>
        <w:ind w:firstLine="6096"/>
        <w:rPr>
          <w:rFonts w:ascii="Times New Roman" w:hAnsi="Times New Roman" w:eastAsia="Times New Roman" w:cs="Times New Roman"/>
          <w:i w:val="false"/>
          <w:i w:val="false"/>
          <w:iCs w:val="false"/>
          <w:color w:val="auto"/>
          <w:lang w:val="x-none" w:eastAsia="x-none"/>
        </w:rPr>
      </w:pPr>
      <w:r>
        <w:rPr>
          <w:rFonts w:eastAsia="Times New Roman" w:cs="Times New Roman" w:ascii="Times New Roman" w:hAnsi="Times New Roman"/>
          <w:i w:val="false"/>
          <w:iCs w:val="false"/>
          <w:color w:val="auto"/>
          <w:lang w:val="x-none" w:eastAsia="x-none"/>
        </w:rPr>
        <w:t>к Техническим требованиям</w:t>
      </w:r>
    </w:p>
    <w:p>
      <w:pPr>
        <w:pStyle w:val="Heading4"/>
        <w:ind w:firstLine="6096"/>
        <w:rPr>
          <w:rFonts w:ascii="Times New Roman" w:hAnsi="Times New Roman" w:eastAsia="Times New Roman" w:cs="Times New Roman"/>
          <w:i w:val="false"/>
          <w:i w:val="false"/>
          <w:iCs w:val="false"/>
          <w:color w:val="auto"/>
          <w:lang w:val="x-none" w:eastAsia="x-none"/>
        </w:rPr>
      </w:pPr>
      <w:r>
        <w:rPr>
          <w:rFonts w:eastAsia="Times New Roman" w:cs="Times New Roman" w:ascii="Times New Roman" w:hAnsi="Times New Roman"/>
          <w:i w:val="false"/>
          <w:iCs w:val="false"/>
          <w:color w:val="auto"/>
          <w:lang w:val="x-none" w:eastAsia="x-none"/>
        </w:rPr>
        <w:t>по лоту ВотГЭС</w:t>
      </w:r>
    </w:p>
    <w:p>
      <w:pPr>
        <w:pStyle w:val="Normal"/>
        <w:tabs>
          <w:tab w:val="clear" w:pos="708"/>
          <w:tab w:val="left" w:pos="993" w:leader="none"/>
        </w:tabs>
        <w:spacing w:before="0" w:after="120"/>
        <w:jc w:val="right"/>
        <w:rPr/>
      </w:pPr>
      <w:r>
        <w:rPr/>
      </w:r>
    </w:p>
    <w:p>
      <w:pPr>
        <w:pStyle w:val="Normal"/>
        <w:tabs>
          <w:tab w:val="clear" w:pos="708"/>
          <w:tab w:val="left" w:pos="993" w:leader="none"/>
        </w:tabs>
        <w:spacing w:before="0" w:after="120"/>
        <w:jc w:val="right"/>
        <w:rPr/>
      </w:pPr>
      <w:r>
        <w:rPr/>
      </w:r>
    </w:p>
    <w:p>
      <w:pPr>
        <w:pStyle w:val="Normal"/>
        <w:tabs>
          <w:tab w:val="clear" w:pos="708"/>
          <w:tab w:val="left" w:pos="0" w:leader="none"/>
        </w:tabs>
        <w:spacing w:before="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взаимодействия Служб технической поддержки Заказчика и Исполнителя при обнаружении ухудшения качества Услуг</w:t>
      </w:r>
    </w:p>
    <w:p>
      <w:pPr>
        <w:pStyle w:val="Normal"/>
        <w:tabs>
          <w:tab w:val="clear" w:pos="708"/>
          <w:tab w:val="left" w:pos="0" w:leader="none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5"/>
        <w:contextualSpacing w:val="false"/>
        <w:jc w:val="both"/>
        <w:rPr/>
      </w:pPr>
      <w:r>
        <w:rPr/>
        <w:t>Ухудшение качества Услуги - любое ухудшение качества предоставляемых Услуг по отношению к нормам и параметрам, установленным в Нормах на электрические параметры цифровых каналов и трактов магистральной и внутризоновой первичных сетей, утвержденных Приказом Министерства связи России № 92 от 10.08.1996 (</w:t>
      </w:r>
      <w:hyperlink r:id="rId13">
        <w:r>
          <w:rPr>
            <w:rStyle w:val="Hyperlink"/>
          </w:rPr>
          <w:t>http://www.consultant.ru/cons/cgi/online.cgi?req=doc&amp;base=EXP&amp;n=306796</w:t>
        </w:r>
      </w:hyperlink>
      <w:r>
        <w:rPr/>
        <w:t>), в том числе частичное или полное прекращение предоставления Услуги Заказчику, отсутствие связи и т.п.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5"/>
        <w:contextualSpacing w:val="false"/>
        <w:jc w:val="both"/>
        <w:rPr/>
      </w:pPr>
      <w:r>
        <w:rPr/>
        <w:t>Если Заказчик обнаруживает ухудшение качества предоставляемой Услуги, он обращается по телефону, факсу или электронной почте в Службу технической поддержки Исполнителя и сообщает об ухудшении качества Услуги. Для подтверждения факта ухудшения качества услуги могут быть использованы данные системы мониторинга Заказчика.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5"/>
        <w:contextualSpacing w:val="false"/>
        <w:jc w:val="both"/>
        <w:rPr/>
      </w:pPr>
      <w:r>
        <w:rPr/>
        <w:t>Если Исполнитель обнаруживает ухудшение качества предоставляемой Услуги, он в течение 10 минут извещает об этом Заказчика, при этом сообщает детальную информацию по проблеме.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6"/>
        <w:contextualSpacing/>
        <w:jc w:val="both"/>
        <w:rPr/>
      </w:pPr>
      <w:r>
        <w:rPr/>
        <w:t>При обращении Заказчика в Службу Техподдержки Исполнителя, Заказчик сообщает следующую информацию: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фамилию, имя, отчество Заказчика, сообщающего об ухудшении качества Услуги, и его контактный телефон;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тип Услуги, по которой наблюдается ухудшение качества, и скорость передачи данных;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Идентификатор Услуги (если имеется идентификатор), по которой наблюдается ухудшение качества. Идентификатор услуги должен быть указан в Актах начала оказания услуг или сообщается Исполнителем по запросу Заказчика;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адрес (адреса) точки (точек) терминирования Услуги, по которой наблюдается ухудшение качества;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время обнаружения ухудшения качества Услуги;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описание неисправности, которую обнаружил Заказчик, в том числе признаки проявления и характер ухудшения качества (отсутствие передачи данных, наличие ошибок и т.п.).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5"/>
        <w:contextualSpacing w:val="false"/>
        <w:jc w:val="both"/>
        <w:rPr/>
      </w:pPr>
      <w:r>
        <w:rPr/>
        <w:t>Служба Техподдержки Исполнителя запрашивает при необходимости у Заказчика дополнительную информацию.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5"/>
        <w:contextualSpacing w:val="false"/>
        <w:jc w:val="both"/>
        <w:rPr/>
      </w:pPr>
      <w:r>
        <w:rPr/>
        <w:t>После передачи проблемы Заказчик регистрирует в своем журнале персональные данные Исполнителя и время обращения.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6"/>
        <w:contextualSpacing/>
        <w:jc w:val="both"/>
        <w:rPr/>
      </w:pPr>
      <w:r>
        <w:rPr/>
        <w:t>Служба Техподдержки Исполнителя получив информацию об ухудшении качества Услуги, фиксирует время обращения и выполняет следующие действия: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открывает Заявку о неисправности и присваивает ей номер;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сообщает Заказчику номер Заявки о неисправности и время ее открытия;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приступает к работам, направленным на возобновление предоставления Услуги надлежащего качества.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6"/>
        <w:contextualSpacing/>
        <w:jc w:val="both"/>
        <w:rPr/>
      </w:pPr>
      <w:r>
        <w:rPr/>
        <w:t>Исполнитель проводит в соответствии со своим внутренним регламентом мероприятия по локализации проблемы, в том числе с помощью систем удаленного контроля (если такие системы имеются у Исполнителя), определяет место сбоя (неисправности), приведшего к ухудшению качества Услуги. В процессе поиска места неисправности технические специалисты Исполнителя могут обратиться к Заказчику с просьбой провести мероприятия (работы, операции) в зоне ответственности Заказчика, такие как: проверка шнура (кабеля) от оконечного оборудования Исполнителя до оборудования Заказчика, установка шлейфа, заворота, тестирование с помощью команды «ping» и пр. Заказчик может провести такие работы и операции, если у него имеются такая возможность и соответствующие навыки, но не обязан. Если Заказчик не может провести указанные работы, то специалисты Исполнителя не могут настаивать на этом, и должны выполнить необходимые им диагностические работы на стороне Заказчика своими силами (выездная бригада).</w:t>
      </w:r>
    </w:p>
    <w:p>
      <w:pPr>
        <w:pStyle w:val="Normal"/>
        <w:tabs>
          <w:tab w:val="clear" w:pos="708"/>
          <w:tab w:val="left" w:pos="567" w:leader="none"/>
        </w:tabs>
        <w:jc w:val="both"/>
        <w:rPr/>
      </w:pPr>
      <w:r>
        <w:rPr/>
        <w:tab/>
        <w:t>Не позднее 20 минут после первичного обращения Заказчика специалист Службы технической поддержки Исполнителя должен связаться с Заказчиком и сообщить ему следующую информацию: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место сбоя, приведшего к ухудшению качества Услуги, выявленное по результатам диагностики (в том числе с помощью систем удаленного контроля);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перечень мер, действий, работ, которые планирует провести Исполнитель для устранения неисправности, приведшей к ухудшению качества Услуги;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ориентировочный срок устранения неисправности и возобновления предоставления Услуги надлежащего качества.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120" w:after="120"/>
        <w:ind w:left="0" w:firstLine="425"/>
        <w:contextualSpacing w:val="false"/>
        <w:jc w:val="both"/>
        <w:rPr/>
      </w:pPr>
      <w:r>
        <w:rPr/>
        <w:t>Если Исполнителю необходим доступ в помещение Заказчика, где установлено оконечное оборудование Исполнителя, для проведения работ по устранению неисправности, то Заказчик должен обеспечить доступ.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5"/>
        <w:contextualSpacing w:val="false"/>
        <w:jc w:val="both"/>
        <w:rPr/>
      </w:pPr>
      <w:r>
        <w:rPr/>
        <w:t xml:space="preserve">Специалист Службы технической поддержки Исполнителя периодически (каждые 20 минут в первый час с момента начала нарушения) связывается с Заказчиком и информирует о ходе выполнения работ по устранению неисправности и о предполагаемом времени завершения работ. 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120"/>
        <w:ind w:left="0" w:firstLine="425"/>
        <w:contextualSpacing w:val="false"/>
        <w:jc w:val="both"/>
        <w:rPr/>
      </w:pPr>
      <w:r>
        <w:rPr/>
        <w:t>Исполнитель должен обеспечить восстановления качества Услуги в максимально короткие сроки без нарушения уровня доступности, указанного в п. 1.2.1.10., 1.2.1.11., 1.2.1.12. таблицы 3 настоящих Технических требований.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851" w:leader="none"/>
        </w:tabs>
        <w:suppressAutoHyphens w:val="false"/>
        <w:spacing w:before="0" w:after="0"/>
        <w:ind w:left="0" w:firstLine="425"/>
        <w:contextualSpacing w:val="false"/>
        <w:jc w:val="both"/>
        <w:rPr/>
      </w:pPr>
      <w:r>
        <w:rPr/>
        <w:t>После устранения неисправности специалист Службы технической поддержки Исполнителя сообщает Заказчику о завершении восстановительных работ и возобновлении предоставления Услуги надлежащего качества. Заказчик проверяет качество предоставляемой Услуги, и: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 xml:space="preserve">если Услуга, по которой обращался Заказчик, предоставляется, и у Заказчика нет претензий к её качеству, то он сообщает об этом специалисту Службы технической Исполнителя. Специалист Службы технической поддержки Исполнителя фиксирует время, фамилию, имя, отчество лица, сообщившего о закрытии Заявки о неисправности и закрывает Заявку о неисправности. Заказчик регистрирует в своем журнале время закрытия Заявки о неисправности, 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suppressAutoHyphens w:val="false"/>
        <w:spacing w:before="0" w:after="120"/>
        <w:ind w:left="0" w:firstLine="567"/>
        <w:contextualSpacing/>
        <w:jc w:val="both"/>
        <w:rPr/>
      </w:pPr>
      <w:r>
        <w:rPr/>
        <w:t>если Заказчик не удовлетворен качеством предоставляемой Услуги, по которой он обращался, он сообщает об этом специалисту Службы технической поддержки Исполнителя. Заявка о неисправности не закрывается, и Исполнитель продолжает работы, направленные на возобновление предоставления услуги в соответствии с Нормами на электрические параметры цифровых каналов и трактов магистральной и внутризоновой первичных сетей, утвержденным Приказом Министерства связи России № 92 от 10.08.1996 (</w:t>
      </w:r>
      <w:hyperlink r:id="rId14">
        <w:r>
          <w:rPr>
            <w:rStyle w:val="Hyperlink"/>
          </w:rPr>
          <w:t>http</w:t>
        </w:r>
        <w:r>
          <w:rPr>
            <w:rStyle w:val="Hyperlink"/>
            <w:lang w:val="en-US"/>
          </w:rPr>
          <w:t>s</w:t>
        </w:r>
        <w:r>
          <w:rPr>
            <w:rStyle w:val="Hyperlink"/>
          </w:rPr>
          <w:t>://www.consultant.ru/</w:t>
        </w:r>
        <w:r>
          <w:rPr>
            <w:rStyle w:val="Hyperlink"/>
            <w:caps/>
          </w:rPr>
          <w:t>cons</w:t>
        </w:r>
        <w:r>
          <w:rPr>
            <w:rStyle w:val="Hyperlink"/>
          </w:rPr>
          <w:t>/cgi/online.cgi?req=doc&amp;base=EXP&amp;n=306796</w:t>
        </w:r>
      </w:hyperlink>
      <w:r>
        <w:rPr/>
        <w:t>).</w:t>
      </w:r>
    </w:p>
    <w:p>
      <w:pPr>
        <w:pStyle w:val="Normal"/>
        <w:rPr>
          <w:rFonts w:eastAsia="Calibri"/>
          <w:bCs/>
          <w:sz w:val="23"/>
          <w:szCs w:val="23"/>
          <w:lang w:eastAsia="x-none"/>
        </w:rPr>
      </w:pPr>
      <w:r>
        <w:rPr>
          <w:rFonts w:eastAsia="Calibri"/>
          <w:bCs/>
          <w:sz w:val="23"/>
          <w:szCs w:val="23"/>
          <w:lang w:eastAsia="x-none"/>
        </w:rPr>
      </w:r>
    </w:p>
    <w:p>
      <w:pPr>
        <w:pStyle w:val="Normal"/>
        <w:rPr>
          <w:rFonts w:eastAsia="Calibri"/>
        </w:rPr>
      </w:pPr>
      <w:r>
        <w:rPr/>
      </w:r>
    </w:p>
    <w:sectPr>
      <w:footerReference w:type="default" r:id="rId15"/>
      <w:footerReference w:type="first" r:id="rId16"/>
      <w:type w:val="nextPage"/>
      <w:pgSz w:w="11906" w:h="16838"/>
      <w:pgMar w:left="992" w:right="777" w:gutter="0" w:header="0" w:top="567" w:footer="720" w:bottom="184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5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13</w:t>
    </w:r>
    <w:r>
      <w:rPr>
        <w:sz w:val="18"/>
        <w:szCs w:val="18"/>
      </w:rPr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19</w:t>
    </w:r>
    <w:r>
      <w:rPr>
        <w:sz w:val="18"/>
        <w:szCs w:val="18"/>
      </w:rPr>
      <w:fldChar w:fldCharType="end"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0" w:hanging="4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06ea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95243e"/>
    <w:pPr>
      <w:keepNext w:val="true"/>
      <w:jc w:val="center"/>
      <w:outlineLvl w:val="0"/>
    </w:pPr>
    <w:rPr>
      <w:b/>
      <w:szCs w:val="20"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d703e9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d703e9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val="2E74B5" w:themeColor="accent1" w:themeShade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Нижний колонтитул Знак"/>
    <w:basedOn w:val="DefaultParagraphFont"/>
    <w:uiPriority w:val="99"/>
    <w:qFormat/>
    <w:rsid w:val="00765be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212a54"/>
    <w:rPr>
      <w:color w:val="0563C1" w:themeColor="hyperlink"/>
      <w:u w:val="single"/>
    </w:rPr>
  </w:style>
  <w:style w:type="character" w:styleId="1" w:customStyle="1">
    <w:name w:val="Заголовок 1 Знак"/>
    <w:basedOn w:val="DefaultParagraphFont"/>
    <w:qFormat/>
    <w:rsid w:val="0095243e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Style7" w:customStyle="1">
    <w:name w:val="Абзац списка Знак"/>
    <w:link w:val="ListParagraph"/>
    <w:uiPriority w:val="34"/>
    <w:qFormat/>
    <w:locked/>
    <w:rsid w:val="0095243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" w:customStyle="1">
    <w:name w:val="Заголовок 3 Знак"/>
    <w:basedOn w:val="DefaultParagraphFont"/>
    <w:uiPriority w:val="9"/>
    <w:semiHidden/>
    <w:qFormat/>
    <w:rsid w:val="00d703e9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ru-RU"/>
    </w:rPr>
  </w:style>
  <w:style w:type="character" w:styleId="4" w:customStyle="1">
    <w:name w:val="Заголовок 4 Знак"/>
    <w:basedOn w:val="DefaultParagraphFont"/>
    <w:uiPriority w:val="9"/>
    <w:qFormat/>
    <w:rsid w:val="00d703e9"/>
    <w:rPr>
      <w:rFonts w:ascii="Calibri Light" w:hAnsi="Calibri Light" w:eastAsia="" w:cs="" w:asciiTheme="majorHAnsi" w:cstheme="majorBidi" w:eastAsiaTheme="majorEastAsia" w:hAnsiTheme="majorHAnsi"/>
      <w:i/>
      <w:iCs/>
      <w:color w:val="2E74B5" w:themeColor="accent1" w:themeShade="bf"/>
      <w:sz w:val="24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22deb"/>
    <w:rPr>
      <w:sz w:val="16"/>
      <w:szCs w:val="16"/>
    </w:rPr>
  </w:style>
  <w:style w:type="character" w:styleId="Style8" w:customStyle="1">
    <w:name w:val="Текст примечания Знак"/>
    <w:basedOn w:val="DefaultParagraphFont"/>
    <w:link w:val="Annotationtext"/>
    <w:uiPriority w:val="99"/>
    <w:semiHidden/>
    <w:qFormat/>
    <w:rsid w:val="00022de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Тема примечания Знак"/>
    <w:basedOn w:val="Style8"/>
    <w:link w:val="Annotationsubject"/>
    <w:uiPriority w:val="99"/>
    <w:semiHidden/>
    <w:qFormat/>
    <w:rsid w:val="00022deb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22deb"/>
    <w:rPr>
      <w:rFonts w:ascii="Segoe UI" w:hAnsi="Segoe UI" w:eastAsia="Times New Roman" w:cs="Segoe UI"/>
      <w:sz w:val="18"/>
      <w:szCs w:val="18"/>
      <w:lang w:eastAsia="ru-RU"/>
    </w:rPr>
  </w:style>
  <w:style w:type="character" w:styleId="Style11" w:customStyle="1">
    <w:name w:val="комментарий"/>
    <w:qFormat/>
    <w:rsid w:val="008e5b2d"/>
    <w:rPr>
      <w:b/>
      <w:i/>
      <w:shd w:fill="FFFF99" w:val="clear"/>
    </w:rPr>
  </w:style>
  <w:style w:type="character" w:styleId="Style12" w:customStyle="1">
    <w:name w:val="Верхний колонтитул Знак"/>
    <w:basedOn w:val="DefaultParagraphFont"/>
    <w:uiPriority w:val="99"/>
    <w:qFormat/>
    <w:rsid w:val="00b460d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Linenumber">
    <w:name w:val="line number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Style15" w:customStyle="1">
    <w:name w:val="Колонтитул"/>
    <w:basedOn w:val="Normal"/>
    <w:qFormat/>
    <w:pPr/>
    <w:rPr/>
  </w:style>
  <w:style w:type="paragraph" w:styleId="Footer">
    <w:name w:val="Footer"/>
    <w:basedOn w:val="Normal"/>
    <w:link w:val="Style6"/>
    <w:uiPriority w:val="99"/>
    <w:rsid w:val="00765be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link w:val="Style7"/>
    <w:uiPriority w:val="34"/>
    <w:qFormat/>
    <w:rsid w:val="00a739ed"/>
    <w:pPr>
      <w:spacing w:before="0" w:after="0"/>
      <w:ind w:left="720" w:hanging="0"/>
      <w:contextualSpacing/>
    </w:pPr>
    <w:rPr/>
  </w:style>
  <w:style w:type="paragraph" w:styleId="TOC1">
    <w:name w:val="TOC 1"/>
    <w:basedOn w:val="Normal"/>
    <w:next w:val="Normal"/>
    <w:autoRedefine/>
    <w:uiPriority w:val="39"/>
    <w:rsid w:val="009706db"/>
    <w:pPr>
      <w:tabs>
        <w:tab w:val="clear" w:pos="708"/>
        <w:tab w:val="left" w:pos="560" w:leader="none"/>
        <w:tab w:val="right" w:pos="9911" w:leader="dot"/>
      </w:tabs>
      <w:spacing w:before="120" w:after="0"/>
    </w:pPr>
    <w:rPr>
      <w:rFonts w:cs="Calibri Light (Заголовки)"/>
    </w:rPr>
  </w:style>
  <w:style w:type="paragraph" w:styleId="TOC3">
    <w:name w:val="TOC 3"/>
    <w:basedOn w:val="Normal"/>
    <w:next w:val="Normal"/>
    <w:autoRedefine/>
    <w:uiPriority w:val="39"/>
    <w:rsid w:val="00ad5b8f"/>
    <w:pPr>
      <w:ind w:left="280" w:hanging="0"/>
    </w:pPr>
    <w:rPr>
      <w:rFonts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ad5b8f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/>
      <w:sz w:val="20"/>
      <w:szCs w:val="20"/>
    </w:rPr>
  </w:style>
  <w:style w:type="paragraph" w:styleId="Style16" w:customStyle="1">
    <w:name w:val="Таблица шапка"/>
    <w:basedOn w:val="Normal"/>
    <w:qFormat/>
    <w:rsid w:val="00a92db3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17" w:customStyle="1">
    <w:name w:val="Таблица"/>
    <w:basedOn w:val="Normal"/>
    <w:qFormat/>
    <w:rsid w:val="00725637"/>
    <w:pPr>
      <w:keepNext w:val="true"/>
      <w:spacing w:before="60" w:after="60"/>
      <w:jc w:val="center"/>
    </w:pPr>
    <w:rPr>
      <w:rFonts w:eastAsia="Calibri"/>
      <w:b/>
    </w:rPr>
  </w:style>
  <w:style w:type="paragraph" w:styleId="Annotationtext">
    <w:name w:val="annotation text"/>
    <w:basedOn w:val="Normal"/>
    <w:link w:val="Style8"/>
    <w:uiPriority w:val="99"/>
    <w:semiHidden/>
    <w:unhideWhenUsed/>
    <w:qFormat/>
    <w:rsid w:val="00022deb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9"/>
    <w:uiPriority w:val="99"/>
    <w:semiHidden/>
    <w:unhideWhenUsed/>
    <w:qFormat/>
    <w:rsid w:val="00022deb"/>
    <w:pPr/>
    <w:rPr>
      <w:b/>
      <w:bCs/>
    </w:rPr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22deb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77468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NoSpacing">
    <w:name w:val="No Spacing"/>
    <w:uiPriority w:val="1"/>
    <w:qFormat/>
    <w:rsid w:val="00951024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IndexHeading">
    <w:name w:val="Index Heading"/>
    <w:basedOn w:val="Style13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3b4dd8"/>
    <w:pPr>
      <w:keepLines/>
      <w:spacing w:lineRule="auto" w:line="259" w:before="240" w:after="0"/>
      <w:jc w:val="left"/>
      <w:outlineLvl w:val="9"/>
    </w:pPr>
    <w:rPr>
      <w:rFonts w:ascii="Calibri Light" w:hAnsi="Calibri Light" w:eastAsia="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OC2">
    <w:name w:val="TOC 2"/>
    <w:basedOn w:val="Normal"/>
    <w:next w:val="Normal"/>
    <w:autoRedefine/>
    <w:uiPriority w:val="39"/>
    <w:unhideWhenUsed/>
    <w:rsid w:val="003b4dd8"/>
    <w:pPr>
      <w:spacing w:lineRule="auto" w:line="259" w:before="0" w:after="100"/>
      <w:ind w:left="220" w:hanging="0"/>
    </w:pPr>
    <w:rPr>
      <w:rFonts w:ascii="Calibri" w:hAnsi="Calibri" w:eastAsia=""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Style12"/>
    <w:uiPriority w:val="99"/>
    <w:unhideWhenUsed/>
    <w:rsid w:val="00b460d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0d4e63"/>
    <w:pPr>
      <w:suppressAutoHyphens w:val="false"/>
      <w:spacing w:beforeAutospacing="1" w:afterAutospacing="1"/>
    </w:pPr>
    <w:rPr/>
  </w:style>
  <w:style w:type="paragraph" w:styleId="Style18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9" w:customStyle="1">
    <w:name w:val="Заголовок таблицы"/>
    <w:basedOn w:val="Style18"/>
    <w:qFormat/>
    <w:pPr>
      <w:jc w:val="center"/>
    </w:pPr>
    <w:rPr>
      <w:b/>
      <w:bCs/>
    </w:rPr>
  </w:style>
  <w:style w:type="paragraph" w:styleId="11" w:customStyle="1">
    <w:name w:val="Заголовок 11"/>
    <w:basedOn w:val="Normal"/>
    <w:next w:val="Normal"/>
    <w:qFormat/>
    <w:rsid w:val="003853d4"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0"/>
    </w:pPr>
    <w:rPr>
      <w:rFonts w:eastAsia="Calibri"/>
      <w:b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tu.int/rec/T-REC-G.703-201604-I/en" TargetMode="External"/><Relationship Id="rId6" Type="http://schemas.openxmlformats.org/officeDocument/2006/relationships/hyperlink" Target="https://www.consultant.ru/document/cons_doc_LAW_64797/" TargetMode="External"/><Relationship Id="rId7" Type="http://schemas.openxmlformats.org/officeDocument/2006/relationships/hyperlink" Target="https://www.consultant.ru/cons/cgi/online.cgi?req=doc&amp;base=EXP&amp;n=306796" TargetMode="External"/><Relationship Id="rId8" Type="http://schemas.openxmlformats.org/officeDocument/2006/relationships/hyperlink" Target="https://www.rosseti.ru/upload/iblock/843/5pam4i2ef35x9ex7abttuh90pyhf41y5.pdf" TargetMode="External"/><Relationship Id="rId9" Type="http://schemas.openxmlformats.org/officeDocument/2006/relationships/hyperlink" Target="https://www.consultant.ru/document/cons_doc_LAW_43224/" TargetMode="External"/><Relationship Id="rId10" Type="http://schemas.openxmlformats.org/officeDocument/2006/relationships/hyperlink" Target="https://www.consultant.ru/document/cons_doc_LAW_43224/" TargetMode="Externa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hyperlink" Target="http://www.consultant.ru/cons/cgi/online.cgi?req=doc&amp;base=EXP&amp;n=306796" TargetMode="External"/><Relationship Id="rId14" Type="http://schemas.openxmlformats.org/officeDocument/2006/relationships/hyperlink" Target="https://www.consultant.ru/cons/cgi/online.cgi?req=doc&amp;base=EXP&amp;n=306796" TargetMode="External"/><Relationship Id="rId15" Type="http://schemas.openxmlformats.org/officeDocument/2006/relationships/footer" Target="footer6.xml"/><Relationship Id="rId16" Type="http://schemas.openxmlformats.org/officeDocument/2006/relationships/footer" Target="footer7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<Relationship Id="rId2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D95AF-732A-451E-AF5C-5B20CA1E7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AlterOffice/3.4.0.9$Linux_X86_64 LibreOffice_project/b8daf9e823b1a5463a2f48435ddc2e8696e7d4fc</Application>
  <AppVersion>15.0000</AppVersion>
  <Pages>19</Pages>
  <Words>2935</Words>
  <Characters>20516</Characters>
  <CharactersWithSpaces>23131</CharactersWithSpaces>
  <Paragraphs>296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2025-02-16T18:47:00Z</dcterms:created>
  <dc:creator>Оборина Марина Александровна</dc:creator>
  <dc:description/>
  <dc:language>ru-RU</dc:language>
  <cp:lastModifiedBy>gaynanovdf@corp.gidroogk.com</cp:lastModifiedBy>
  <cp:lastPrinted>2023-02-13T04:13:00Z</cp:lastPrinted>
  <dcterms:modified xsi:type="dcterms:W3CDTF">2026-05-13T13:13:30Z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